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7107" w14:textId="77777777" w:rsidR="008C7ECE" w:rsidRPr="00523A7E" w:rsidRDefault="008C7ECE" w:rsidP="00636A55">
      <w:pPr>
        <w:pStyle w:val="TM1"/>
        <w:tabs>
          <w:tab w:val="clear" w:pos="426"/>
          <w:tab w:val="clear" w:pos="851"/>
          <w:tab w:val="clear" w:pos="9299"/>
        </w:tabs>
        <w:spacing w:before="0"/>
      </w:pPr>
    </w:p>
    <w:p w14:paraId="6036CE5E" w14:textId="77777777" w:rsidR="008C7ECE" w:rsidRPr="00523A7E" w:rsidRDefault="008C7ECE" w:rsidP="00636A55">
      <w:pPr>
        <w:tabs>
          <w:tab w:val="clear" w:pos="426"/>
          <w:tab w:val="clear" w:pos="851"/>
          <w:tab w:val="clear" w:pos="1276"/>
          <w:tab w:val="clear" w:pos="5216"/>
          <w:tab w:val="clear" w:pos="7938"/>
          <w:tab w:val="clear" w:pos="9299"/>
        </w:tabs>
        <w:jc w:val="center"/>
      </w:pPr>
    </w:p>
    <w:p w14:paraId="3197C829" w14:textId="77777777" w:rsidR="004A64B1" w:rsidRPr="00523A7E"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26E6A8D5" w14:textId="77777777" w:rsidR="00AA05E1" w:rsidRPr="00523A7E"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 xml:space="preserve">Contrat relatif </w:t>
      </w:r>
      <w:proofErr w:type="spellStart"/>
      <w:r>
        <w:rPr>
          <w:rFonts w:asciiTheme="minorHAnsi" w:hAnsiTheme="minorHAnsi"/>
          <w:b/>
          <w:sz w:val="28"/>
        </w:rPr>
        <w:t>à</w:t>
      </w:r>
      <w:proofErr w:type="spellEnd"/>
      <w:r>
        <w:rPr>
          <w:rFonts w:asciiTheme="minorHAnsi" w:hAnsiTheme="minorHAnsi"/>
          <w:b/>
          <w:sz w:val="28"/>
        </w:rPr>
        <w:t xml:space="preserve"> l’achat de matériel informatique </w:t>
      </w:r>
    </w:p>
    <w:p w14:paraId="79E7C858" w14:textId="77777777" w:rsidR="008C7ECE" w:rsidRPr="00523A7E"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p>
    <w:p w14:paraId="4BFDD76C" w14:textId="77777777" w:rsidR="00DF7101" w:rsidRPr="00523A7E"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43E2306" w14:textId="77777777" w:rsidR="008C7ECE" w:rsidRPr="00523A7E"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entre</w:t>
      </w:r>
      <w:proofErr w:type="gramEnd"/>
    </w:p>
    <w:p w14:paraId="3ED28063" w14:textId="77777777" w:rsidR="004A64B1" w:rsidRPr="00523A7E"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C941C53" w14:textId="77777777" w:rsidR="008C7ECE" w:rsidRPr="00523A7E"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490F6522" w14:textId="77777777" w:rsidR="004A64B1" w:rsidRPr="00523A7E"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EA7A00B" w14:textId="77777777" w:rsidR="008C7ECE" w:rsidRPr="00523A7E"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bénéficiaire de prestations</w:t>
      </w:r>
      <w:r>
        <w:rPr>
          <w:rFonts w:asciiTheme="minorHAnsi" w:hAnsiTheme="minorHAnsi"/>
        </w:rPr>
        <w:t xml:space="preserve"> (= acheteur)</w:t>
      </w:r>
    </w:p>
    <w:p w14:paraId="2FB3A5E8" w14:textId="77777777" w:rsidR="004A64B1" w:rsidRPr="00523A7E"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9F07BF1" w14:textId="77777777" w:rsidR="008C7ECE" w:rsidRPr="00523A7E"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et</w:t>
      </w:r>
      <w:proofErr w:type="gramEnd"/>
      <w:r>
        <w:rPr>
          <w:rFonts w:asciiTheme="minorHAnsi" w:hAnsiTheme="minorHAnsi"/>
        </w:rPr>
        <w:t xml:space="preserve"> </w:t>
      </w:r>
    </w:p>
    <w:p w14:paraId="39CF8B0B" w14:textId="77777777" w:rsidR="004A64B1" w:rsidRPr="00523A7E"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A15EB34" w14:textId="77777777" w:rsidR="008C7ECE" w:rsidRPr="00523A7E"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65ED0B4C" w14:textId="77777777" w:rsidR="008C7ECE" w:rsidRPr="00523A7E"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1D7418B" w14:textId="77777777" w:rsidR="008C7ECE" w:rsidRPr="00523A7E"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prestataire</w:t>
      </w:r>
      <w:r>
        <w:rPr>
          <w:rFonts w:asciiTheme="minorHAnsi" w:hAnsiTheme="minorHAnsi"/>
        </w:rPr>
        <w:t xml:space="preserve"> (= vendeur)</w:t>
      </w:r>
    </w:p>
    <w:p w14:paraId="49FA50A8" w14:textId="77777777" w:rsidR="00B02596" w:rsidRPr="00523A7E"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22F50ABC" w14:textId="77777777" w:rsidR="00B02596" w:rsidRPr="00523A7E"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concernant</w:t>
      </w:r>
      <w:proofErr w:type="gramEnd"/>
      <w:r>
        <w:rPr>
          <w:rFonts w:asciiTheme="minorHAnsi" w:hAnsiTheme="minorHAnsi"/>
        </w:rPr>
        <w:t> :</w:t>
      </w:r>
    </w:p>
    <w:p w14:paraId="2DA98FA3" w14:textId="77777777" w:rsidR="00342D99" w:rsidRPr="00523A7E"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5CF822AD" w14:textId="77777777" w:rsidR="00342D99" w:rsidRPr="00523A7E"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insérer le titre</w:t>
      </w:r>
      <w:r>
        <w:rPr>
          <w:rFonts w:asciiTheme="minorHAnsi" w:hAnsiTheme="minorHAnsi"/>
          <w:highlight w:val="yellow"/>
        </w:rPr>
        <w:t>…</w:t>
      </w:r>
      <w:r>
        <w:rPr>
          <w:rFonts w:asciiTheme="minorHAnsi" w:hAnsiTheme="minorHAnsi"/>
        </w:rPr>
        <w:t>]</w:t>
      </w:r>
    </w:p>
    <w:p w14:paraId="3657251C" w14:textId="77777777" w:rsidR="00E91669" w:rsidRPr="00523A7E" w:rsidRDefault="00E9166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83769FB" w14:textId="77777777" w:rsidR="004A64B1" w:rsidRPr="00523A7E" w:rsidRDefault="004A64B1" w:rsidP="00FD67B9">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0E98E9D" w14:textId="77777777" w:rsidR="00FD67B9" w:rsidRPr="00523A7E" w:rsidRDefault="00FD67B9"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B10DB00" w14:textId="77777777" w:rsidR="004A64B1" w:rsidRPr="00523A7E"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00AE7129" w14:textId="77777777" w:rsidR="004A64B1" w:rsidRPr="00523A7E"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Pr>
          <w:rFonts w:asciiTheme="minorHAnsi" w:hAnsiTheme="minorHAnsi"/>
          <w:b/>
        </w:rPr>
        <w:t>Table des matières :</w:t>
      </w:r>
    </w:p>
    <w:p w14:paraId="3F37E393" w14:textId="77777777" w:rsidR="004A64B1" w:rsidRPr="00523A7E"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21860A8C" w14:textId="16C2FA21" w:rsidR="00A51D2A" w:rsidRDefault="00A51D2A">
      <w:pPr>
        <w:pStyle w:val="TM1"/>
        <w:rPr>
          <w:rFonts w:asciiTheme="minorHAnsi" w:eastAsiaTheme="minorEastAsia" w:hAnsiTheme="minorHAnsi" w:cstheme="minorBidi"/>
          <w:noProof/>
          <w:kern w:val="2"/>
          <w:sz w:val="24"/>
          <w:szCs w:val="24"/>
          <w:lang w:eastAsia="fr-CH"/>
          <w14:ligatures w14:val="standardContextual"/>
        </w:rPr>
      </w:pPr>
      <w:r w:rsidRPr="00523A7E">
        <w:rPr>
          <w:rFonts w:asciiTheme="minorHAnsi" w:hAnsiTheme="minorHAnsi" w:cstheme="minorHAnsi"/>
          <w:lang w:val="de-CH"/>
        </w:rPr>
        <w:fldChar w:fldCharType="begin"/>
      </w:r>
      <w:r w:rsidR="004A64B1" w:rsidRPr="00523A7E">
        <w:rPr>
          <w:rFonts w:asciiTheme="minorHAnsi" w:hAnsiTheme="minorHAnsi" w:cstheme="minorHAnsi"/>
          <w:lang w:val="de-CH"/>
        </w:rPr>
        <w:instrText xml:space="preserve"> TOC \o "1-2" \h \z \u </w:instrText>
      </w:r>
      <w:r w:rsidRPr="00523A7E">
        <w:rPr>
          <w:rFonts w:asciiTheme="minorHAnsi" w:hAnsiTheme="minorHAnsi" w:cstheme="minorHAnsi"/>
          <w:lang w:val="de-CH"/>
        </w:rPr>
        <w:fldChar w:fldCharType="separate"/>
      </w:r>
      <w:hyperlink w:anchor="_Toc197702898" w:history="1">
        <w:r w:rsidRPr="000E5BC5">
          <w:rPr>
            <w:rStyle w:val="Lienhypertexte"/>
            <w:noProof/>
          </w:rPr>
          <w:t xml:space="preserve">1. </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Objet de la vente</w:t>
        </w:r>
        <w:r>
          <w:rPr>
            <w:noProof/>
            <w:webHidden/>
          </w:rPr>
          <w:tab/>
        </w:r>
        <w:r>
          <w:rPr>
            <w:noProof/>
            <w:webHidden/>
          </w:rPr>
          <w:fldChar w:fldCharType="begin"/>
        </w:r>
        <w:r>
          <w:rPr>
            <w:noProof/>
            <w:webHidden/>
          </w:rPr>
          <w:instrText xml:space="preserve"> PAGEREF _Toc197702898 \h </w:instrText>
        </w:r>
        <w:r>
          <w:rPr>
            <w:noProof/>
            <w:webHidden/>
          </w:rPr>
        </w:r>
        <w:r>
          <w:rPr>
            <w:noProof/>
            <w:webHidden/>
          </w:rPr>
          <w:fldChar w:fldCharType="separate"/>
        </w:r>
        <w:r>
          <w:rPr>
            <w:noProof/>
            <w:webHidden/>
          </w:rPr>
          <w:t>2</w:t>
        </w:r>
        <w:r>
          <w:rPr>
            <w:noProof/>
            <w:webHidden/>
          </w:rPr>
          <w:fldChar w:fldCharType="end"/>
        </w:r>
      </w:hyperlink>
    </w:p>
    <w:p w14:paraId="2E4F6E28" w14:textId="1A3FEE7F"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899" w:history="1">
        <w:r w:rsidRPr="000E5BC5">
          <w:rPr>
            <w:rStyle w:val="Lienhypertexte"/>
            <w:noProof/>
          </w:rPr>
          <w:t xml:space="preserve">2. </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Éléments constitutifs du contrat</w:t>
        </w:r>
        <w:r>
          <w:rPr>
            <w:noProof/>
            <w:webHidden/>
          </w:rPr>
          <w:tab/>
        </w:r>
        <w:r>
          <w:rPr>
            <w:noProof/>
            <w:webHidden/>
          </w:rPr>
          <w:fldChar w:fldCharType="begin"/>
        </w:r>
        <w:r>
          <w:rPr>
            <w:noProof/>
            <w:webHidden/>
          </w:rPr>
          <w:instrText xml:space="preserve"> PAGEREF _Toc197702899 \h </w:instrText>
        </w:r>
        <w:r>
          <w:rPr>
            <w:noProof/>
            <w:webHidden/>
          </w:rPr>
        </w:r>
        <w:r>
          <w:rPr>
            <w:noProof/>
            <w:webHidden/>
          </w:rPr>
          <w:fldChar w:fldCharType="separate"/>
        </w:r>
        <w:r>
          <w:rPr>
            <w:noProof/>
            <w:webHidden/>
          </w:rPr>
          <w:t>2</w:t>
        </w:r>
        <w:r>
          <w:rPr>
            <w:noProof/>
            <w:webHidden/>
          </w:rPr>
          <w:fldChar w:fldCharType="end"/>
        </w:r>
      </w:hyperlink>
    </w:p>
    <w:p w14:paraId="3841D171" w14:textId="6E44B80B"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0" w:history="1">
        <w:r w:rsidRPr="000E5BC5">
          <w:rPr>
            <w:rStyle w:val="Lienhypertexte"/>
            <w:noProof/>
          </w:rPr>
          <w:t xml:space="preserve">3. </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Annexes</w:t>
        </w:r>
        <w:r>
          <w:rPr>
            <w:noProof/>
            <w:webHidden/>
          </w:rPr>
          <w:tab/>
        </w:r>
        <w:r>
          <w:rPr>
            <w:noProof/>
            <w:webHidden/>
          </w:rPr>
          <w:fldChar w:fldCharType="begin"/>
        </w:r>
        <w:r>
          <w:rPr>
            <w:noProof/>
            <w:webHidden/>
          </w:rPr>
          <w:instrText xml:space="preserve"> PAGEREF _Toc197702900 \h </w:instrText>
        </w:r>
        <w:r>
          <w:rPr>
            <w:noProof/>
            <w:webHidden/>
          </w:rPr>
        </w:r>
        <w:r>
          <w:rPr>
            <w:noProof/>
            <w:webHidden/>
          </w:rPr>
          <w:fldChar w:fldCharType="separate"/>
        </w:r>
        <w:r>
          <w:rPr>
            <w:noProof/>
            <w:webHidden/>
          </w:rPr>
          <w:t>2</w:t>
        </w:r>
        <w:r>
          <w:rPr>
            <w:noProof/>
            <w:webHidden/>
          </w:rPr>
          <w:fldChar w:fldCharType="end"/>
        </w:r>
      </w:hyperlink>
    </w:p>
    <w:p w14:paraId="500CBEE1" w14:textId="7F843A2D"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1" w:history="1">
        <w:r w:rsidRPr="000E5BC5">
          <w:rPr>
            <w:rStyle w:val="Lienhypertexte"/>
            <w:noProof/>
          </w:rPr>
          <w:t>4.</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Instruction</w:t>
        </w:r>
        <w:r>
          <w:rPr>
            <w:noProof/>
            <w:webHidden/>
          </w:rPr>
          <w:tab/>
        </w:r>
        <w:r>
          <w:rPr>
            <w:noProof/>
            <w:webHidden/>
          </w:rPr>
          <w:fldChar w:fldCharType="begin"/>
        </w:r>
        <w:r>
          <w:rPr>
            <w:noProof/>
            <w:webHidden/>
          </w:rPr>
          <w:instrText xml:space="preserve"> PAGEREF _Toc197702901 \h </w:instrText>
        </w:r>
        <w:r>
          <w:rPr>
            <w:noProof/>
            <w:webHidden/>
          </w:rPr>
        </w:r>
        <w:r>
          <w:rPr>
            <w:noProof/>
            <w:webHidden/>
          </w:rPr>
          <w:fldChar w:fldCharType="separate"/>
        </w:r>
        <w:r>
          <w:rPr>
            <w:noProof/>
            <w:webHidden/>
          </w:rPr>
          <w:t>3</w:t>
        </w:r>
        <w:r>
          <w:rPr>
            <w:noProof/>
            <w:webHidden/>
          </w:rPr>
          <w:fldChar w:fldCharType="end"/>
        </w:r>
      </w:hyperlink>
    </w:p>
    <w:p w14:paraId="1403ADFC" w14:textId="7C4ED971"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2" w:history="1">
        <w:r w:rsidRPr="000E5BC5">
          <w:rPr>
            <w:rStyle w:val="Lienhypertexte"/>
            <w:noProof/>
          </w:rPr>
          <w:t>5.</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Collaboration du bénéficiaire de prestations</w:t>
        </w:r>
        <w:r>
          <w:rPr>
            <w:noProof/>
            <w:webHidden/>
          </w:rPr>
          <w:tab/>
        </w:r>
        <w:r>
          <w:rPr>
            <w:noProof/>
            <w:webHidden/>
          </w:rPr>
          <w:fldChar w:fldCharType="begin"/>
        </w:r>
        <w:r>
          <w:rPr>
            <w:noProof/>
            <w:webHidden/>
          </w:rPr>
          <w:instrText xml:space="preserve"> PAGEREF _Toc197702902 \h </w:instrText>
        </w:r>
        <w:r>
          <w:rPr>
            <w:noProof/>
            <w:webHidden/>
          </w:rPr>
        </w:r>
        <w:r>
          <w:rPr>
            <w:noProof/>
            <w:webHidden/>
          </w:rPr>
          <w:fldChar w:fldCharType="separate"/>
        </w:r>
        <w:r>
          <w:rPr>
            <w:noProof/>
            <w:webHidden/>
          </w:rPr>
          <w:t>3</w:t>
        </w:r>
        <w:r>
          <w:rPr>
            <w:noProof/>
            <w:webHidden/>
          </w:rPr>
          <w:fldChar w:fldCharType="end"/>
        </w:r>
      </w:hyperlink>
    </w:p>
    <w:p w14:paraId="6C3653C4" w14:textId="7E641CD0"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3" w:history="1">
        <w:r w:rsidRPr="000E5BC5">
          <w:rPr>
            <w:rStyle w:val="Lienhypertexte"/>
            <w:noProof/>
          </w:rPr>
          <w:t>6.</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Délais</w:t>
        </w:r>
        <w:r>
          <w:rPr>
            <w:noProof/>
            <w:webHidden/>
          </w:rPr>
          <w:tab/>
        </w:r>
        <w:r>
          <w:rPr>
            <w:noProof/>
            <w:webHidden/>
          </w:rPr>
          <w:fldChar w:fldCharType="begin"/>
        </w:r>
        <w:r>
          <w:rPr>
            <w:noProof/>
            <w:webHidden/>
          </w:rPr>
          <w:instrText xml:space="preserve"> PAGEREF _Toc197702903 \h </w:instrText>
        </w:r>
        <w:r>
          <w:rPr>
            <w:noProof/>
            <w:webHidden/>
          </w:rPr>
        </w:r>
        <w:r>
          <w:rPr>
            <w:noProof/>
            <w:webHidden/>
          </w:rPr>
          <w:fldChar w:fldCharType="separate"/>
        </w:r>
        <w:r>
          <w:rPr>
            <w:noProof/>
            <w:webHidden/>
          </w:rPr>
          <w:t>3</w:t>
        </w:r>
        <w:r>
          <w:rPr>
            <w:noProof/>
            <w:webHidden/>
          </w:rPr>
          <w:fldChar w:fldCharType="end"/>
        </w:r>
      </w:hyperlink>
    </w:p>
    <w:p w14:paraId="7B388162" w14:textId="43926069"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4" w:history="1">
        <w:r w:rsidRPr="000E5BC5">
          <w:rPr>
            <w:rStyle w:val="Lienhypertexte"/>
            <w:noProof/>
          </w:rPr>
          <w:t xml:space="preserve">7. </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Rémunération</w:t>
        </w:r>
        <w:r>
          <w:rPr>
            <w:noProof/>
            <w:webHidden/>
          </w:rPr>
          <w:tab/>
        </w:r>
        <w:r>
          <w:rPr>
            <w:noProof/>
            <w:webHidden/>
          </w:rPr>
          <w:fldChar w:fldCharType="begin"/>
        </w:r>
        <w:r>
          <w:rPr>
            <w:noProof/>
            <w:webHidden/>
          </w:rPr>
          <w:instrText xml:space="preserve"> PAGEREF _Toc197702904 \h </w:instrText>
        </w:r>
        <w:r>
          <w:rPr>
            <w:noProof/>
            <w:webHidden/>
          </w:rPr>
        </w:r>
        <w:r>
          <w:rPr>
            <w:noProof/>
            <w:webHidden/>
          </w:rPr>
          <w:fldChar w:fldCharType="separate"/>
        </w:r>
        <w:r>
          <w:rPr>
            <w:noProof/>
            <w:webHidden/>
          </w:rPr>
          <w:t>4</w:t>
        </w:r>
        <w:r>
          <w:rPr>
            <w:noProof/>
            <w:webHidden/>
          </w:rPr>
          <w:fldChar w:fldCharType="end"/>
        </w:r>
      </w:hyperlink>
    </w:p>
    <w:p w14:paraId="41C87E1E" w14:textId="41D767E6"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5" w:history="1">
        <w:r w:rsidRPr="000E5BC5">
          <w:rPr>
            <w:rStyle w:val="Lienhypertexte"/>
            <w:noProof/>
          </w:rPr>
          <w:t xml:space="preserve">8. </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Adresse de facturation</w:t>
        </w:r>
        <w:r>
          <w:rPr>
            <w:noProof/>
            <w:webHidden/>
          </w:rPr>
          <w:tab/>
        </w:r>
        <w:r>
          <w:rPr>
            <w:noProof/>
            <w:webHidden/>
          </w:rPr>
          <w:fldChar w:fldCharType="begin"/>
        </w:r>
        <w:r>
          <w:rPr>
            <w:noProof/>
            <w:webHidden/>
          </w:rPr>
          <w:instrText xml:space="preserve"> PAGEREF _Toc197702905 \h </w:instrText>
        </w:r>
        <w:r>
          <w:rPr>
            <w:noProof/>
            <w:webHidden/>
          </w:rPr>
        </w:r>
        <w:r>
          <w:rPr>
            <w:noProof/>
            <w:webHidden/>
          </w:rPr>
          <w:fldChar w:fldCharType="separate"/>
        </w:r>
        <w:r>
          <w:rPr>
            <w:noProof/>
            <w:webHidden/>
          </w:rPr>
          <w:t>4</w:t>
        </w:r>
        <w:r>
          <w:rPr>
            <w:noProof/>
            <w:webHidden/>
          </w:rPr>
          <w:fldChar w:fldCharType="end"/>
        </w:r>
      </w:hyperlink>
    </w:p>
    <w:p w14:paraId="439B25EE" w14:textId="5EE6A2F2"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6" w:history="1">
        <w:r w:rsidRPr="000E5BC5">
          <w:rPr>
            <w:rStyle w:val="Lienhypertexte"/>
            <w:noProof/>
          </w:rPr>
          <w:t>9.</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Lieu d’exécution</w:t>
        </w:r>
        <w:r>
          <w:rPr>
            <w:noProof/>
            <w:webHidden/>
          </w:rPr>
          <w:tab/>
        </w:r>
        <w:r>
          <w:rPr>
            <w:noProof/>
            <w:webHidden/>
          </w:rPr>
          <w:fldChar w:fldCharType="begin"/>
        </w:r>
        <w:r>
          <w:rPr>
            <w:noProof/>
            <w:webHidden/>
          </w:rPr>
          <w:instrText xml:space="preserve"> PAGEREF _Toc197702906 \h </w:instrText>
        </w:r>
        <w:r>
          <w:rPr>
            <w:noProof/>
            <w:webHidden/>
          </w:rPr>
        </w:r>
        <w:r>
          <w:rPr>
            <w:noProof/>
            <w:webHidden/>
          </w:rPr>
          <w:fldChar w:fldCharType="separate"/>
        </w:r>
        <w:r>
          <w:rPr>
            <w:noProof/>
            <w:webHidden/>
          </w:rPr>
          <w:t>4</w:t>
        </w:r>
        <w:r>
          <w:rPr>
            <w:noProof/>
            <w:webHidden/>
          </w:rPr>
          <w:fldChar w:fldCharType="end"/>
        </w:r>
      </w:hyperlink>
    </w:p>
    <w:p w14:paraId="320AFDEB" w14:textId="57C12B25"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7" w:history="1">
        <w:r w:rsidRPr="000E5BC5">
          <w:rPr>
            <w:rStyle w:val="Lienhypertexte"/>
            <w:noProof/>
          </w:rPr>
          <w:t>10.</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Modalités de réception</w:t>
        </w:r>
        <w:r>
          <w:rPr>
            <w:noProof/>
            <w:webHidden/>
          </w:rPr>
          <w:tab/>
        </w:r>
        <w:r>
          <w:rPr>
            <w:noProof/>
            <w:webHidden/>
          </w:rPr>
          <w:fldChar w:fldCharType="begin"/>
        </w:r>
        <w:r>
          <w:rPr>
            <w:noProof/>
            <w:webHidden/>
          </w:rPr>
          <w:instrText xml:space="preserve"> PAGEREF _Toc197702907 \h </w:instrText>
        </w:r>
        <w:r>
          <w:rPr>
            <w:noProof/>
            <w:webHidden/>
          </w:rPr>
        </w:r>
        <w:r>
          <w:rPr>
            <w:noProof/>
            <w:webHidden/>
          </w:rPr>
          <w:fldChar w:fldCharType="separate"/>
        </w:r>
        <w:r>
          <w:rPr>
            <w:noProof/>
            <w:webHidden/>
          </w:rPr>
          <w:t>4</w:t>
        </w:r>
        <w:r>
          <w:rPr>
            <w:noProof/>
            <w:webHidden/>
          </w:rPr>
          <w:fldChar w:fldCharType="end"/>
        </w:r>
      </w:hyperlink>
    </w:p>
    <w:p w14:paraId="6ABBEDC5" w14:textId="4926FA0B"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8" w:history="1">
        <w:r w:rsidRPr="000E5BC5">
          <w:rPr>
            <w:rStyle w:val="Lienhypertexte"/>
            <w:noProof/>
          </w:rPr>
          <w:t>11.</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Accords spéciaux</w:t>
        </w:r>
        <w:r>
          <w:rPr>
            <w:noProof/>
            <w:webHidden/>
          </w:rPr>
          <w:tab/>
        </w:r>
        <w:r>
          <w:rPr>
            <w:noProof/>
            <w:webHidden/>
          </w:rPr>
          <w:fldChar w:fldCharType="begin"/>
        </w:r>
        <w:r>
          <w:rPr>
            <w:noProof/>
            <w:webHidden/>
          </w:rPr>
          <w:instrText xml:space="preserve"> PAGEREF _Toc197702908 \h </w:instrText>
        </w:r>
        <w:r>
          <w:rPr>
            <w:noProof/>
            <w:webHidden/>
          </w:rPr>
        </w:r>
        <w:r>
          <w:rPr>
            <w:noProof/>
            <w:webHidden/>
          </w:rPr>
          <w:fldChar w:fldCharType="separate"/>
        </w:r>
        <w:r>
          <w:rPr>
            <w:noProof/>
            <w:webHidden/>
          </w:rPr>
          <w:t>5</w:t>
        </w:r>
        <w:r>
          <w:rPr>
            <w:noProof/>
            <w:webHidden/>
          </w:rPr>
          <w:fldChar w:fldCharType="end"/>
        </w:r>
      </w:hyperlink>
    </w:p>
    <w:p w14:paraId="469D90C2" w14:textId="3A4FE20E" w:rsidR="00A51D2A" w:rsidRDefault="00A51D2A">
      <w:pPr>
        <w:pStyle w:val="TM1"/>
        <w:rPr>
          <w:rFonts w:asciiTheme="minorHAnsi" w:eastAsiaTheme="minorEastAsia" w:hAnsiTheme="minorHAnsi" w:cstheme="minorBidi"/>
          <w:noProof/>
          <w:kern w:val="2"/>
          <w:sz w:val="24"/>
          <w:szCs w:val="24"/>
          <w:lang w:eastAsia="fr-CH"/>
          <w14:ligatures w14:val="standardContextual"/>
        </w:rPr>
      </w:pPr>
      <w:hyperlink w:anchor="_Toc197702909" w:history="1">
        <w:r w:rsidRPr="000E5BC5">
          <w:rPr>
            <w:rStyle w:val="Lienhypertexte"/>
            <w:noProof/>
          </w:rPr>
          <w:t xml:space="preserve">12. </w:t>
        </w:r>
        <w:r>
          <w:rPr>
            <w:rFonts w:asciiTheme="minorHAnsi" w:eastAsiaTheme="minorEastAsia" w:hAnsiTheme="minorHAnsi" w:cstheme="minorBidi"/>
            <w:noProof/>
            <w:kern w:val="2"/>
            <w:sz w:val="24"/>
            <w:szCs w:val="24"/>
            <w:lang w:eastAsia="fr-CH"/>
            <w14:ligatures w14:val="standardContextual"/>
          </w:rPr>
          <w:tab/>
        </w:r>
        <w:r w:rsidRPr="000E5BC5">
          <w:rPr>
            <w:rStyle w:val="Lienhypertexte"/>
            <w:noProof/>
          </w:rPr>
          <w:t>Dispositions finales</w:t>
        </w:r>
        <w:r>
          <w:rPr>
            <w:noProof/>
            <w:webHidden/>
          </w:rPr>
          <w:tab/>
        </w:r>
        <w:r>
          <w:rPr>
            <w:noProof/>
            <w:webHidden/>
          </w:rPr>
          <w:fldChar w:fldCharType="begin"/>
        </w:r>
        <w:r>
          <w:rPr>
            <w:noProof/>
            <w:webHidden/>
          </w:rPr>
          <w:instrText xml:space="preserve"> PAGEREF _Toc197702909 \h </w:instrText>
        </w:r>
        <w:r>
          <w:rPr>
            <w:noProof/>
            <w:webHidden/>
          </w:rPr>
        </w:r>
        <w:r>
          <w:rPr>
            <w:noProof/>
            <w:webHidden/>
          </w:rPr>
          <w:fldChar w:fldCharType="separate"/>
        </w:r>
        <w:r>
          <w:rPr>
            <w:noProof/>
            <w:webHidden/>
          </w:rPr>
          <w:t>5</w:t>
        </w:r>
        <w:r>
          <w:rPr>
            <w:noProof/>
            <w:webHidden/>
          </w:rPr>
          <w:fldChar w:fldCharType="end"/>
        </w:r>
      </w:hyperlink>
    </w:p>
    <w:p w14:paraId="6355E58D" w14:textId="25C7356D" w:rsidR="006624C6" w:rsidRDefault="00A51D2A">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de-CH"/>
        </w:rPr>
      </w:pPr>
      <w:r w:rsidRPr="00523A7E">
        <w:rPr>
          <w:rFonts w:asciiTheme="minorHAnsi" w:hAnsiTheme="minorHAnsi" w:cstheme="minorHAnsi"/>
          <w:lang w:val="de-CH"/>
        </w:rPr>
        <w:fldChar w:fldCharType="end"/>
      </w:r>
    </w:p>
    <w:p w14:paraId="715435CD" w14:textId="77777777" w:rsidR="004A64B1" w:rsidRPr="00523A7E" w:rsidRDefault="004A64B1" w:rsidP="00E72B22">
      <w:pPr>
        <w:tabs>
          <w:tab w:val="clear" w:pos="426"/>
          <w:tab w:val="clear" w:pos="851"/>
          <w:tab w:val="clear" w:pos="1276"/>
          <w:tab w:val="clear" w:pos="5216"/>
          <w:tab w:val="clear" w:pos="7938"/>
          <w:tab w:val="clear" w:pos="9299"/>
          <w:tab w:val="center" w:pos="4652"/>
        </w:tabs>
        <w:spacing w:after="200" w:line="276" w:lineRule="auto"/>
        <w:rPr>
          <w:rFonts w:asciiTheme="minorHAnsi" w:hAnsiTheme="minorHAnsi"/>
          <w:b/>
        </w:rPr>
      </w:pPr>
      <w:r>
        <w:rPr>
          <w:rFonts w:asciiTheme="minorHAnsi" w:hAnsiTheme="minorHAnsi"/>
        </w:rPr>
        <w:br w:type="page"/>
      </w:r>
    </w:p>
    <w:p w14:paraId="46A0E2AC" w14:textId="77777777" w:rsidR="008C7ECE" w:rsidRPr="00523A7E" w:rsidRDefault="008C7ECE" w:rsidP="009B46C0">
      <w:pPr>
        <w:pStyle w:val="SIK-berschrift1"/>
      </w:pPr>
      <w:bookmarkStart w:id="0" w:name="_Toc197702898"/>
      <w:r>
        <w:lastRenderedPageBreak/>
        <w:t xml:space="preserve">1. </w:t>
      </w:r>
      <w:r>
        <w:tab/>
        <w:t>Objet de la vente</w:t>
      </w:r>
      <w:bookmarkEnd w:id="0"/>
    </w:p>
    <w:p w14:paraId="2524BB39" w14:textId="77777777" w:rsidR="008C7ECE" w:rsidRPr="00523A7E" w:rsidRDefault="008C7ECE" w:rsidP="009B46C0">
      <w:pPr>
        <w:pStyle w:val="SIK-Standard1"/>
      </w:pPr>
      <w:r>
        <w:rPr>
          <w:rStyle w:val="SIK-StandardZchn"/>
        </w:rPr>
        <w:t>Le bénéficiaire de prestations commande au prestataire les objets suivants </w:t>
      </w:r>
      <w:r>
        <w:t>:</w:t>
      </w:r>
    </w:p>
    <w:p w14:paraId="0D2F5247" w14:textId="77777777" w:rsidR="00761020" w:rsidRPr="00523A7E" w:rsidRDefault="00A77B41"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r>
      <w:r>
        <w:rPr>
          <w:rFonts w:asciiTheme="minorHAnsi" w:hAnsiTheme="minorHAnsi"/>
          <w:i/>
          <w:highlight w:val="yellow"/>
        </w:rPr>
        <w:t xml:space="preserve">...décrire en détail le matériel informatique commandé et les accessoires requis ou en faire une description succincte et, dans ce cas, renvoyer </w:t>
      </w:r>
      <w:proofErr w:type="spellStart"/>
      <w:r>
        <w:rPr>
          <w:rFonts w:asciiTheme="minorHAnsi" w:hAnsiTheme="minorHAnsi"/>
          <w:i/>
          <w:highlight w:val="yellow"/>
        </w:rPr>
        <w:t>à</w:t>
      </w:r>
      <w:proofErr w:type="spellEnd"/>
      <w:r>
        <w:rPr>
          <w:rFonts w:asciiTheme="minorHAnsi" w:hAnsiTheme="minorHAnsi"/>
          <w:i/>
          <w:highlight w:val="yellow"/>
        </w:rPr>
        <w:t xml:space="preserve"> la description complète et cohérente figurant dans l’offre / la demande d’offres et indiquer la source pertinente, ou en faire une description exhaustive dans l’annexe « Spécification des prestations contractuelles ».</w:t>
      </w:r>
    </w:p>
    <w:p w14:paraId="6B7415BA" w14:textId="77777777" w:rsidR="002B3ADA" w:rsidRPr="00523A7E" w:rsidRDefault="002B3ADA"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i/>
          <w:highlight w:val="yellow"/>
        </w:rPr>
        <w:t>Décrire le plus précisément possible les prestations accessoires qui doivent être fournies lors de l’installation en plus des prestations commandées (par ex. paramétrage, adaptation mineure des interfaces aux systèmes environnants).</w:t>
      </w:r>
    </w:p>
    <w:p w14:paraId="5F7279A7" w14:textId="77777777" w:rsidR="002F271B" w:rsidRPr="00523A7E" w:rsidRDefault="00D111A0"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i/>
          <w:highlight w:val="yellow"/>
        </w:rPr>
        <w:t xml:space="preserve">Décrire également l’ensemble des logiciels accessoires livrés avec l’objet de la vente et des licences qui s’y rapportent (par ex. logiciel d’exploitation ou suite MS Office), renvoyer </w:t>
      </w:r>
      <w:proofErr w:type="spellStart"/>
      <w:r>
        <w:rPr>
          <w:rFonts w:asciiTheme="minorHAnsi" w:hAnsiTheme="minorHAnsi"/>
          <w:i/>
          <w:highlight w:val="yellow"/>
        </w:rPr>
        <w:t>à</w:t>
      </w:r>
      <w:proofErr w:type="spellEnd"/>
      <w:r>
        <w:rPr>
          <w:rFonts w:asciiTheme="minorHAnsi" w:hAnsiTheme="minorHAnsi"/>
          <w:i/>
          <w:highlight w:val="yellow"/>
        </w:rPr>
        <w:t xml:space="preserve"> l’annexe correspondante ou indiquer les sources pertinentes figurant dans la demande d’offres / l’offre. Il est également possible d’établir un contrat distinct pour la fourniture des licences logicielles requises (SLV 4). Déterminer également, au besoin, les assurances portant sur les caractéristiques requises des logiciels et du matériel informatique, renvoyer </w:t>
      </w:r>
      <w:proofErr w:type="spellStart"/>
      <w:r>
        <w:rPr>
          <w:rFonts w:asciiTheme="minorHAnsi" w:hAnsiTheme="minorHAnsi"/>
          <w:i/>
          <w:highlight w:val="yellow"/>
        </w:rPr>
        <w:t>à</w:t>
      </w:r>
      <w:proofErr w:type="spellEnd"/>
      <w:r>
        <w:rPr>
          <w:rFonts w:asciiTheme="minorHAnsi" w:hAnsiTheme="minorHAnsi"/>
          <w:i/>
          <w:highlight w:val="yellow"/>
        </w:rPr>
        <w:t xml:space="preserve"> l’annexe correspondante ou indiquer les sources pertinentes figurant dans la demande d’offres / l’offre.</w:t>
      </w:r>
    </w:p>
    <w:p w14:paraId="45B1E9E3" w14:textId="77777777" w:rsidR="00A77B41" w:rsidRPr="00523A7E" w:rsidRDefault="00761020" w:rsidP="009B46C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 xml:space="preserve">Mentionner, au besoin, d’autres différences par rapport </w:t>
      </w:r>
      <w:proofErr w:type="spellStart"/>
      <w:r>
        <w:rPr>
          <w:rFonts w:asciiTheme="minorHAnsi" w:hAnsiTheme="minorHAnsi"/>
          <w:i/>
          <w:highlight w:val="yellow"/>
        </w:rPr>
        <w:t>à</w:t>
      </w:r>
      <w:proofErr w:type="spellEnd"/>
      <w:r>
        <w:rPr>
          <w:rFonts w:asciiTheme="minorHAnsi" w:hAnsiTheme="minorHAnsi"/>
          <w:i/>
          <w:highlight w:val="yellow"/>
        </w:rPr>
        <w:t xml:space="preserve"> des prestations dont le prestataire n’est pas tenu de s’acquitter…</w:t>
      </w:r>
      <w:r>
        <w:rPr>
          <w:rFonts w:asciiTheme="minorHAnsi" w:hAnsiTheme="minorHAnsi"/>
          <w:highlight w:val="yellow"/>
        </w:rPr>
        <w:t>]</w:t>
      </w:r>
    </w:p>
    <w:p w14:paraId="55668AB9" w14:textId="77777777" w:rsidR="008C7ECE" w:rsidRPr="00523A7E" w:rsidRDefault="008C7ECE" w:rsidP="009B46C0">
      <w:pPr>
        <w:pStyle w:val="SIK-berschrift1"/>
      </w:pPr>
      <w:bookmarkStart w:id="1" w:name="_Toc197702899"/>
      <w:r>
        <w:t xml:space="preserve">2. </w:t>
      </w:r>
      <w:r>
        <w:tab/>
        <w:t>Éléments constitutifs du contrat</w:t>
      </w:r>
      <w:bookmarkEnd w:id="1"/>
    </w:p>
    <w:p w14:paraId="59E4AC34" w14:textId="77777777" w:rsidR="008C7ECE" w:rsidRPr="00523A7E" w:rsidRDefault="008C7ECE" w:rsidP="009B46C0">
      <w:pPr>
        <w:pStyle w:val="SIK-Standard1"/>
      </w:pPr>
      <w:r>
        <w:t>Le contrat est constitué, dans l’ordre, des éléments suivants :</w:t>
      </w:r>
    </w:p>
    <w:p w14:paraId="34AF2E4B" w14:textId="77777777" w:rsidR="00C14831" w:rsidRPr="00523A7E" w:rsidRDefault="0024570D" w:rsidP="006838E0">
      <w:pPr>
        <w:pStyle w:val="SIK-Standard1"/>
        <w:ind w:left="1134" w:hanging="425"/>
      </w:pPr>
      <w:r>
        <w:t>a)</w:t>
      </w:r>
      <w:r>
        <w:tab/>
        <w:t>le présent document ;</w:t>
      </w:r>
    </w:p>
    <w:p w14:paraId="3F8FC033" w14:textId="77777777" w:rsidR="00272432" w:rsidRPr="00523A7E" w:rsidRDefault="00C14831" w:rsidP="006838E0">
      <w:pPr>
        <w:pStyle w:val="SIK-Standard1"/>
        <w:ind w:left="1134" w:hanging="425"/>
      </w:pPr>
      <w:r>
        <w:t>b)</w:t>
      </w:r>
      <w:r>
        <w:tab/>
        <w:t>les annexes mentionnées au ch. 3 ;</w:t>
      </w:r>
    </w:p>
    <w:p w14:paraId="08CD2CE9" w14:textId="77777777" w:rsidR="008C7ECE" w:rsidRPr="00523A7E" w:rsidRDefault="00C14831" w:rsidP="006838E0">
      <w:pPr>
        <w:pStyle w:val="SIK-Standard1"/>
        <w:ind w:left="1134" w:hanging="425"/>
      </w:pPr>
      <w:r>
        <w:t>c)</w:t>
      </w:r>
      <w:r>
        <w:tab/>
        <w:t>les conditions générales de l’ANS pour les prestations TIC, édition de mars 2025 (ci-après « CG 2025 de l’ANS ») ;</w:t>
      </w:r>
    </w:p>
    <w:p w14:paraId="4240ABF4" w14:textId="77777777" w:rsidR="008C7ECE" w:rsidRPr="00523A7E" w:rsidRDefault="00C14831" w:rsidP="006838E0">
      <w:pPr>
        <w:pStyle w:val="SIK-Standard1"/>
        <w:ind w:left="1134" w:hanging="425"/>
      </w:pPr>
      <w:r>
        <w:t>d)</w:t>
      </w:r>
      <w:r>
        <w:tab/>
        <w:t>l’offre du prestataire du </w:t>
      </w:r>
      <w:r>
        <w:rPr>
          <w:highlight w:val="yellow"/>
        </w:rPr>
        <w:t>[...]</w:t>
      </w:r>
      <w:r>
        <w:t> ;</w:t>
      </w:r>
    </w:p>
    <w:p w14:paraId="46118A27" w14:textId="77777777" w:rsidR="008C7ECE" w:rsidRPr="00523A7E" w:rsidRDefault="00C14831" w:rsidP="006838E0">
      <w:pPr>
        <w:pStyle w:val="SIK-Standard1"/>
        <w:ind w:left="1134" w:hanging="425"/>
      </w:pPr>
      <w:r>
        <w:t>e)</w:t>
      </w:r>
      <w:r>
        <w:tab/>
      </w:r>
      <w:r>
        <w:rPr>
          <w:highlight w:val="yellow"/>
        </w:rPr>
        <w:t>[la demande d’offres / le cahier des charges]</w:t>
      </w:r>
      <w:r>
        <w:t xml:space="preserve"> du bénéficiaire de prestations du </w:t>
      </w:r>
      <w:r>
        <w:rPr>
          <w:highlight w:val="yellow"/>
        </w:rPr>
        <w:t>[...]</w:t>
      </w:r>
      <w:r>
        <w:t> ;</w:t>
      </w:r>
    </w:p>
    <w:p w14:paraId="29EDE431" w14:textId="77777777" w:rsidR="00326D44" w:rsidRPr="00523A7E" w:rsidRDefault="00326D44" w:rsidP="006838E0">
      <w:pPr>
        <w:pStyle w:val="SIK-Standard1"/>
        <w:ind w:left="1134" w:hanging="425"/>
      </w:pPr>
      <w:r>
        <w:rPr>
          <w:highlight w:val="yellow"/>
        </w:rPr>
        <w:t>[</w:t>
      </w:r>
      <w:proofErr w:type="gramStart"/>
      <w:r>
        <w:rPr>
          <w:highlight w:val="yellow"/>
        </w:rPr>
        <w:t>x</w:t>
      </w:r>
      <w:proofErr w:type="gramEnd"/>
      <w:r>
        <w:rPr>
          <w:highlight w:val="yellow"/>
        </w:rPr>
        <w:t>)</w:t>
      </w:r>
      <w:r>
        <w:rPr>
          <w:highlight w:val="yellow"/>
        </w:rPr>
        <w:tab/>
      </w:r>
      <w:r>
        <w:rPr>
          <w:i/>
          <w:highlight w:val="yellow"/>
        </w:rPr>
        <w:t>…mentionner les éventuels autres éléments pertinents pour le contrat et modifier l’ordre de priorité, si nécessaire…</w:t>
      </w:r>
      <w:r>
        <w:rPr>
          <w:highlight w:val="yellow"/>
        </w:rPr>
        <w:t>]</w:t>
      </w:r>
    </w:p>
    <w:p w14:paraId="26580677" w14:textId="77777777" w:rsidR="008C7ECE" w:rsidRPr="00523A7E" w:rsidRDefault="00054214" w:rsidP="009B46C0">
      <w:pPr>
        <w:pStyle w:val="SIK-Standard1"/>
      </w:pPr>
      <w:r>
        <w:t>Les parties contractantes confirment être en possession des éléments constitutifs du contrat. Les conditions générales du prestataire ne s’appliquent pas.</w:t>
      </w:r>
    </w:p>
    <w:p w14:paraId="48824D4F" w14:textId="77777777" w:rsidR="009339E5" w:rsidRDefault="009339E5">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2" w:name="_Toc197702900"/>
      <w:r>
        <w:br w:type="page"/>
      </w:r>
    </w:p>
    <w:p w14:paraId="19FCD4D4" w14:textId="736A1A5D" w:rsidR="00A9375E" w:rsidRPr="00523A7E" w:rsidRDefault="005F0A2C" w:rsidP="009B46C0">
      <w:pPr>
        <w:pStyle w:val="SIK-berschrift1"/>
      </w:pPr>
      <w:r>
        <w:lastRenderedPageBreak/>
        <w:t xml:space="preserve">3. </w:t>
      </w:r>
      <w:r>
        <w:tab/>
        <w:t>Annexes</w:t>
      </w:r>
      <w:bookmarkEnd w:id="2"/>
    </w:p>
    <w:p w14:paraId="137D9B71" w14:textId="77777777" w:rsidR="000051C8" w:rsidRPr="00523A7E" w:rsidRDefault="000051C8" w:rsidP="0037099D">
      <w:pPr>
        <w:tabs>
          <w:tab w:val="clear" w:pos="426"/>
          <w:tab w:val="clear" w:pos="851"/>
          <w:tab w:val="clear" w:pos="1276"/>
          <w:tab w:val="clear" w:pos="5216"/>
          <w:tab w:val="clear" w:pos="7938"/>
          <w:tab w:val="clear" w:pos="9299"/>
        </w:tabs>
        <w:spacing w:after="120" w:line="300" w:lineRule="atLeast"/>
        <w:ind w:left="426"/>
        <w:jc w:val="both"/>
        <w:rPr>
          <w:rFonts w:asciiTheme="minorHAnsi" w:hAnsiTheme="minorHAnsi"/>
        </w:rPr>
      </w:pPr>
      <w:r>
        <w:rPr>
          <w:rFonts w:asciiTheme="minorHAnsi" w:hAnsiTheme="minorHAnsi"/>
        </w:rPr>
        <w:t>Le présent contrat comprend les annexes suivantes :</w:t>
      </w:r>
    </w:p>
    <w:p w14:paraId="54C0EA08" w14:textId="77777777" w:rsidR="00761020" w:rsidRPr="00523A7E"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ici toutes les annexes effectivement utilisées, par exemple…</w:t>
      </w:r>
      <w:r>
        <w:rPr>
          <w:rFonts w:asciiTheme="minorHAnsi" w:hAnsiTheme="minorHAnsi"/>
          <w:highlight w:val="yellow"/>
        </w:rPr>
        <w:t xml:space="preserve"> </w:t>
      </w:r>
    </w:p>
    <w:p w14:paraId="07DF26A7" w14:textId="77777777" w:rsidR="000051C8" w:rsidRPr="00523A7E"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Spécification des prestations contractuelles ;</w:t>
      </w:r>
    </w:p>
    <w:p w14:paraId="16DA7DCE" w14:textId="77777777" w:rsidR="008A0334" w:rsidRPr="00523A7E"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Rémunération ; </w:t>
      </w:r>
    </w:p>
    <w:p w14:paraId="571916F6" w14:textId="77777777" w:rsidR="00B065E2" w:rsidRPr="00523A7E" w:rsidRDefault="00B05F95"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Modalités de réception ;</w:t>
      </w:r>
    </w:p>
    <w:p w14:paraId="7892AE03" w14:textId="77777777" w:rsidR="000051C8" w:rsidRPr="00523A7E" w:rsidRDefault="008A0334"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proofErr w:type="gramStart"/>
      <w:r>
        <w:rPr>
          <w:rFonts w:asciiTheme="minorHAnsi" w:hAnsiTheme="minorHAnsi"/>
          <w:highlight w:val="yellow"/>
        </w:rPr>
        <w:t>annexe</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2E2A9058" w14:textId="77777777" w:rsidR="00DA2677" w:rsidRPr="00523A7E" w:rsidRDefault="005F0A2C" w:rsidP="009B46C0">
      <w:pPr>
        <w:pStyle w:val="SIK-berschrift1"/>
      </w:pPr>
      <w:bookmarkStart w:id="3" w:name="_Toc197702901"/>
      <w:r>
        <w:t>4.</w:t>
      </w:r>
      <w:r>
        <w:tab/>
        <w:t>Instruction</w:t>
      </w:r>
      <w:bookmarkEnd w:id="3"/>
    </w:p>
    <w:p w14:paraId="31F03F22" w14:textId="77777777" w:rsidR="00DA2677" w:rsidRPr="00523A7E" w:rsidRDefault="00DA3C03" w:rsidP="009B46C0">
      <w:pPr>
        <w:pStyle w:val="SIK-Standard1"/>
      </w:pPr>
      <w:r>
        <w:t xml:space="preserve">En application du ch. 11 des CG 2025 de l’ANS, le prestataire s’engage </w:t>
      </w:r>
      <w:proofErr w:type="spellStart"/>
      <w:r>
        <w:t>à</w:t>
      </w:r>
      <w:proofErr w:type="spellEnd"/>
      <w:r>
        <w:t xml:space="preserve"> fournir les prestations d’instruction suivantes :</w:t>
      </w:r>
    </w:p>
    <w:p w14:paraId="68B2D9E9" w14:textId="77777777" w:rsidR="00D53F6D" w:rsidRPr="00523A7E" w:rsidRDefault="00DA2677" w:rsidP="009B46C0">
      <w:pPr>
        <w:pStyle w:val="SIK-Standard1"/>
        <w:ind w:left="709"/>
        <w:rPr>
          <w:highlight w:val="yellow"/>
        </w:rPr>
      </w:pPr>
      <w:r>
        <w:rPr>
          <w:highlight w:val="yellow"/>
        </w:rPr>
        <w:t>[</w:t>
      </w:r>
      <w:r>
        <w:rPr>
          <w:i/>
          <w:highlight w:val="yellow"/>
        </w:rPr>
        <w:t>Fac 1 (description)</w:t>
      </w:r>
    </w:p>
    <w:p w14:paraId="305EA254" w14:textId="77777777" w:rsidR="00DA2677" w:rsidRPr="00523A7E" w:rsidRDefault="00BF317E" w:rsidP="009B46C0">
      <w:pPr>
        <w:pStyle w:val="SIK-Standard1"/>
        <w:ind w:left="709"/>
        <w:rPr>
          <w:highlight w:val="yellow"/>
        </w:rPr>
      </w:pPr>
      <w:r>
        <w:rPr>
          <w:i/>
          <w:highlight w:val="yellow"/>
        </w:rPr>
        <w:t xml:space="preserve">…Décrire et énumérer toutes les instructions ou formations nécessaires pour le personnel propre ou pour le personnel externe, ou encore pour les autres utilisateurs concernés par les prestations contractuelles. Indiquer si le prestataire doit mettre </w:t>
      </w:r>
      <w:proofErr w:type="spellStart"/>
      <w:r>
        <w:rPr>
          <w:i/>
          <w:highlight w:val="yellow"/>
        </w:rPr>
        <w:t>à</w:t>
      </w:r>
      <w:proofErr w:type="spellEnd"/>
      <w:r>
        <w:rPr>
          <w:i/>
          <w:highlight w:val="yellow"/>
        </w:rPr>
        <w:t xml:space="preserve"> disposition des documents de formation et, le cas échéant, dans quelles langues ceux-ci doivent être établis.</w:t>
      </w:r>
      <w:r>
        <w:rPr>
          <w:highlight w:val="yellow"/>
        </w:rPr>
        <w:t xml:space="preserve"> </w:t>
      </w:r>
    </w:p>
    <w:p w14:paraId="39862C75" w14:textId="77777777" w:rsidR="00D53F6D" w:rsidRPr="00523A7E" w:rsidRDefault="00D53F6D" w:rsidP="009B46C0">
      <w:pPr>
        <w:pStyle w:val="SIK-Standard1"/>
        <w:ind w:left="709"/>
        <w:rPr>
          <w:highlight w:val="yellow"/>
        </w:rPr>
      </w:pPr>
      <w:r>
        <w:rPr>
          <w:i/>
          <w:highlight w:val="yellow"/>
        </w:rPr>
        <w:t>[Fac 2 (aucune)</w:t>
      </w:r>
    </w:p>
    <w:p w14:paraId="6B646A54" w14:textId="77777777" w:rsidR="00D53F6D" w:rsidRPr="00523A7E" w:rsidRDefault="00D53F6D" w:rsidP="009B46C0">
      <w:pPr>
        <w:pStyle w:val="SIK-Standard1"/>
        <w:ind w:left="709"/>
        <w:rPr>
          <w:highlight w:val="yellow"/>
        </w:rPr>
      </w:pPr>
      <w:r>
        <w:rPr>
          <w:highlight w:val="yellow"/>
        </w:rPr>
        <w:t xml:space="preserve">Aucune instruction n’est requise, </w:t>
      </w:r>
      <w:proofErr w:type="spellStart"/>
      <w:r>
        <w:rPr>
          <w:highlight w:val="yellow"/>
        </w:rPr>
        <w:t>à</w:t>
      </w:r>
      <w:proofErr w:type="spellEnd"/>
      <w:r>
        <w:rPr>
          <w:highlight w:val="yellow"/>
        </w:rPr>
        <w:t xml:space="preserve"> l’exception d’une documentation destinée aux utilisateurs suffisamment claire et précise.]</w:t>
      </w:r>
    </w:p>
    <w:p w14:paraId="065012F4" w14:textId="77777777" w:rsidR="009337BF" w:rsidRPr="00523A7E" w:rsidRDefault="009337BF" w:rsidP="009B46C0">
      <w:pPr>
        <w:pStyle w:val="SIK-berschrift1"/>
      </w:pPr>
      <w:bookmarkStart w:id="4" w:name="_Toc197702902"/>
      <w:r>
        <w:t>5.</w:t>
      </w:r>
      <w:r>
        <w:tab/>
        <w:t>Collaboration du bénéficiaire de prestations</w:t>
      </w:r>
      <w:bookmarkEnd w:id="4"/>
    </w:p>
    <w:p w14:paraId="48F3C6A0" w14:textId="77777777" w:rsidR="009337BF" w:rsidRPr="00523A7E" w:rsidRDefault="009337BF" w:rsidP="009B46C0">
      <w:pPr>
        <w:pStyle w:val="SIK-Standard1"/>
      </w:pPr>
      <w:r>
        <w:t xml:space="preserve">Outre l’obligation de collaborer visée au ch. 12.3 des CG 2025 de l’ANS, le bénéficiaire de prestations s’engage </w:t>
      </w:r>
      <w:proofErr w:type="spellStart"/>
      <w:r>
        <w:t>à</w:t>
      </w:r>
      <w:proofErr w:type="spellEnd"/>
      <w:r>
        <w:t xml:space="preserve"> remplir les obligations suivantes :</w:t>
      </w:r>
    </w:p>
    <w:p w14:paraId="4B17B381" w14:textId="77777777" w:rsidR="00BC2C37" w:rsidRPr="00523A7E" w:rsidRDefault="009337BF" w:rsidP="009B46C0">
      <w:pPr>
        <w:pStyle w:val="SIK-Standard1"/>
        <w:ind w:left="709"/>
        <w:rPr>
          <w:highlight w:val="yellow"/>
        </w:rPr>
      </w:pPr>
      <w:r>
        <w:rPr>
          <w:highlight w:val="yellow"/>
        </w:rPr>
        <w:t>[</w:t>
      </w:r>
      <w:r>
        <w:rPr>
          <w:i/>
          <w:highlight w:val="yellow"/>
        </w:rPr>
        <w:t>Fac 1 (aucune)</w:t>
      </w:r>
    </w:p>
    <w:p w14:paraId="674E2B5C" w14:textId="77777777" w:rsidR="00BC2C37" w:rsidRPr="00523A7E" w:rsidRDefault="00BC2C37" w:rsidP="009B46C0">
      <w:pPr>
        <w:pStyle w:val="SIK-Standard1"/>
        <w:ind w:left="709"/>
        <w:rPr>
          <w:i/>
          <w:highlight w:val="yellow"/>
        </w:rPr>
      </w:pPr>
      <w:r>
        <w:rPr>
          <w:highlight w:val="yellow"/>
        </w:rPr>
        <w:t xml:space="preserve">Aucune autre obligation de collaborer ne doit être remplie. </w:t>
      </w:r>
    </w:p>
    <w:p w14:paraId="3CE25DE9" w14:textId="77777777" w:rsidR="00BC2C37" w:rsidRPr="00523A7E" w:rsidRDefault="00BC2C37" w:rsidP="009B46C0">
      <w:pPr>
        <w:pStyle w:val="SIK-Standard1"/>
        <w:ind w:left="709"/>
        <w:rPr>
          <w:i/>
          <w:highlight w:val="yellow"/>
        </w:rPr>
      </w:pPr>
      <w:r>
        <w:rPr>
          <w:i/>
          <w:highlight w:val="yellow"/>
        </w:rPr>
        <w:t xml:space="preserve">[Fac 2 (description) </w:t>
      </w:r>
    </w:p>
    <w:p w14:paraId="5339864A" w14:textId="77777777" w:rsidR="009337BF" w:rsidRPr="00523A7E" w:rsidRDefault="0005716F" w:rsidP="009B46C0">
      <w:pPr>
        <w:pStyle w:val="SIK-Standard1"/>
        <w:ind w:left="709"/>
        <w:rPr>
          <w:highlight w:val="yellow"/>
        </w:rPr>
      </w:pPr>
      <w:r>
        <w:rPr>
          <w:i/>
          <w:highlight w:val="yellow"/>
        </w:rPr>
        <w:t>…mentionner l’ensemble des obligations de collaborer nécessaires, celles-ci devant en principe être déterminées par le prestataire et contrôlées par le bénéficiaire de prestations…</w:t>
      </w:r>
      <w:r>
        <w:rPr>
          <w:highlight w:val="yellow"/>
        </w:rPr>
        <w:t>]</w:t>
      </w:r>
    </w:p>
    <w:p w14:paraId="2F66FB91" w14:textId="77777777" w:rsidR="009339E5" w:rsidRDefault="009339E5">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5" w:name="_Toc197702903"/>
      <w:r>
        <w:br w:type="page"/>
      </w:r>
    </w:p>
    <w:p w14:paraId="60E1AC22" w14:textId="49DC9C5A" w:rsidR="008C7ECE" w:rsidRPr="00523A7E" w:rsidRDefault="009337BF" w:rsidP="009B46C0">
      <w:pPr>
        <w:pStyle w:val="SIK-berschrift1"/>
      </w:pPr>
      <w:r>
        <w:lastRenderedPageBreak/>
        <w:t>6.</w:t>
      </w:r>
      <w:r>
        <w:tab/>
        <w:t>Délais</w:t>
      </w:r>
      <w:bookmarkEnd w:id="5"/>
    </w:p>
    <w:p w14:paraId="4C9579BB" w14:textId="77777777" w:rsidR="008C7ECE" w:rsidRPr="00523A7E" w:rsidRDefault="00D224C7" w:rsidP="009B46C0">
      <w:pPr>
        <w:pStyle w:val="SIK-Standard1"/>
      </w:pPr>
      <w:r>
        <w:t>Les délais mentionnés ci-après sont contraignants et comminatoires au sens du ch. 18.1 des CG 2025 de l’ANS. Leur non-respect entraîne une peine conventionnelle fondée sur le ch. 22.3 des CG 2025 de l’ANS :</w:t>
      </w:r>
    </w:p>
    <w:p w14:paraId="1D6BCB8F" w14:textId="77777777" w:rsidR="00F17F02" w:rsidRPr="00523A7E" w:rsidRDefault="00D224C7" w:rsidP="009B46C0">
      <w:pPr>
        <w:pStyle w:val="SIK-Standard1"/>
        <w:ind w:left="709"/>
        <w:rPr>
          <w:highlight w:val="yellow"/>
        </w:rPr>
      </w:pPr>
      <w:r>
        <w:rPr>
          <w:highlight w:val="yellow"/>
        </w:rPr>
        <w:t>[…</w:t>
      </w:r>
      <w:r>
        <w:rPr>
          <w:i/>
          <w:highlight w:val="yellow"/>
        </w:rPr>
        <w:t>énumérer tous les délais qui doivent impérativement être respectés, par exemple…</w:t>
      </w:r>
    </w:p>
    <w:p w14:paraId="4B6CF182" w14:textId="77777777" w:rsidR="00D224C7" w:rsidRPr="00523A7E" w:rsidRDefault="0018517D" w:rsidP="009B46C0">
      <w:pPr>
        <w:pStyle w:val="SIK-Standard1"/>
        <w:ind w:left="709"/>
        <w:rPr>
          <w:highlight w:val="yellow"/>
        </w:rPr>
      </w:pPr>
      <w:proofErr w:type="gramStart"/>
      <w:r>
        <w:rPr>
          <w:highlight w:val="yellow"/>
        </w:rPr>
        <w:t>délai</w:t>
      </w:r>
      <w:proofErr w:type="gramEnd"/>
      <w:r>
        <w:rPr>
          <w:highlight w:val="yellow"/>
        </w:rPr>
        <w:t xml:space="preserve"> de livraison et d’installation 1</w:t>
      </w:r>
      <w:r>
        <w:rPr>
          <w:highlight w:val="yellow"/>
        </w:rPr>
        <w:tab/>
        <w:t>…</w:t>
      </w:r>
      <w:r>
        <w:rPr>
          <w:i/>
          <w:highlight w:val="yellow"/>
        </w:rPr>
        <w:t>Description de l’objet </w:t>
      </w:r>
      <w:proofErr w:type="gramStart"/>
      <w:r>
        <w:rPr>
          <w:i/>
          <w:highlight w:val="yellow"/>
        </w:rPr>
        <w:t>a)</w:t>
      </w:r>
      <w:r>
        <w:rPr>
          <w:highlight w:val="yellow"/>
        </w:rPr>
        <w:t>…</w:t>
      </w:r>
      <w:proofErr w:type="gramEnd"/>
      <w:r>
        <w:rPr>
          <w:highlight w:val="yellow"/>
        </w:rPr>
        <w:t xml:space="preserve"> le ... ;</w:t>
      </w:r>
    </w:p>
    <w:p w14:paraId="2D79E9C9" w14:textId="77777777" w:rsidR="00D224C7" w:rsidRPr="00523A7E" w:rsidRDefault="00853A73" w:rsidP="009B46C0">
      <w:pPr>
        <w:pStyle w:val="SIK-Standard1"/>
        <w:ind w:left="709"/>
        <w:rPr>
          <w:highlight w:val="yellow"/>
        </w:rPr>
      </w:pPr>
      <w:proofErr w:type="gramStart"/>
      <w:r>
        <w:rPr>
          <w:highlight w:val="yellow"/>
        </w:rPr>
        <w:t>délai</w:t>
      </w:r>
      <w:proofErr w:type="gramEnd"/>
      <w:r>
        <w:rPr>
          <w:highlight w:val="yellow"/>
        </w:rPr>
        <w:t xml:space="preserve"> de livraison et d’installation 2</w:t>
      </w:r>
      <w:r>
        <w:rPr>
          <w:highlight w:val="yellow"/>
        </w:rPr>
        <w:tab/>
        <w:t>…</w:t>
      </w:r>
      <w:r>
        <w:rPr>
          <w:i/>
          <w:highlight w:val="yellow"/>
        </w:rPr>
        <w:t>Description de l’objet </w:t>
      </w:r>
      <w:proofErr w:type="gramStart"/>
      <w:r>
        <w:rPr>
          <w:i/>
          <w:highlight w:val="yellow"/>
        </w:rPr>
        <w:t>b)</w:t>
      </w:r>
      <w:r>
        <w:rPr>
          <w:highlight w:val="yellow"/>
        </w:rPr>
        <w:t>…</w:t>
      </w:r>
      <w:proofErr w:type="gramEnd"/>
      <w:r>
        <w:rPr>
          <w:highlight w:val="yellow"/>
        </w:rPr>
        <w:t xml:space="preserve"> le ... ;</w:t>
      </w:r>
    </w:p>
    <w:p w14:paraId="390A8A87" w14:textId="77777777" w:rsidR="00D224C7" w:rsidRPr="00523A7E" w:rsidRDefault="00853A73" w:rsidP="009B46C0">
      <w:pPr>
        <w:pStyle w:val="SIK-Standard1"/>
        <w:ind w:left="709"/>
      </w:pPr>
      <w:proofErr w:type="gramStart"/>
      <w:r>
        <w:rPr>
          <w:highlight w:val="yellow"/>
        </w:rPr>
        <w:t>délai</w:t>
      </w:r>
      <w:proofErr w:type="gramEnd"/>
      <w:r>
        <w:rPr>
          <w:highlight w:val="yellow"/>
        </w:rPr>
        <w:t> X</w:t>
      </w:r>
      <w:r>
        <w:rPr>
          <w:highlight w:val="yellow"/>
        </w:rPr>
        <w:tab/>
      </w:r>
      <w:r>
        <w:rPr>
          <w:highlight w:val="yellow"/>
        </w:rPr>
        <w:tab/>
      </w:r>
      <w:r>
        <w:rPr>
          <w:highlight w:val="yellow"/>
        </w:rPr>
        <w:tab/>
      </w:r>
      <w:r>
        <w:rPr>
          <w:highlight w:val="yellow"/>
        </w:rPr>
        <w:tab/>
        <w:t>…</w:t>
      </w:r>
      <w:r>
        <w:rPr>
          <w:i/>
          <w:highlight w:val="yellow"/>
        </w:rPr>
        <w:t>Description de la prestation x)</w:t>
      </w:r>
      <w:r>
        <w:rPr>
          <w:highlight w:val="yellow"/>
        </w:rPr>
        <w:t xml:space="preserve"> le ...].</w:t>
      </w:r>
    </w:p>
    <w:p w14:paraId="647133F5" w14:textId="77777777" w:rsidR="00D224C7" w:rsidRPr="00523A7E" w:rsidRDefault="008C7ECE" w:rsidP="009B46C0">
      <w:pPr>
        <w:pStyle w:val="SIK-Standard1"/>
      </w:pPr>
      <w:r>
        <w:t>Les autres délais sont fixés comme suit :</w:t>
      </w:r>
    </w:p>
    <w:p w14:paraId="65E332D1" w14:textId="77777777" w:rsidR="00E75DAF" w:rsidRPr="00523A7E" w:rsidRDefault="00E75DAF" w:rsidP="009B46C0">
      <w:pPr>
        <w:pStyle w:val="SIK-Standard1"/>
        <w:ind w:left="709"/>
        <w:rPr>
          <w:highlight w:val="yellow"/>
        </w:rPr>
      </w:pPr>
      <w:r>
        <w:rPr>
          <w:highlight w:val="yellow"/>
        </w:rPr>
        <w:t>[</w:t>
      </w:r>
      <w:r>
        <w:rPr>
          <w:i/>
          <w:highlight w:val="yellow"/>
        </w:rPr>
        <w:t>Fac 1 (énumération)</w:t>
      </w:r>
    </w:p>
    <w:p w14:paraId="58215C95" w14:textId="77777777" w:rsidR="00E75DAF" w:rsidRPr="00523A7E" w:rsidRDefault="00E75DAF" w:rsidP="009B46C0">
      <w:pPr>
        <w:pStyle w:val="SIK-Standard1"/>
        <w:ind w:left="709"/>
        <w:rPr>
          <w:highlight w:val="yellow"/>
        </w:rPr>
      </w:pPr>
      <w:proofErr w:type="gramStart"/>
      <w:r>
        <w:rPr>
          <w:highlight w:val="yellow"/>
        </w:rPr>
        <w:t>délai</w:t>
      </w:r>
      <w:proofErr w:type="gramEnd"/>
      <w:r>
        <w:rPr>
          <w:highlight w:val="yellow"/>
        </w:rPr>
        <w:t> 1</w:t>
      </w:r>
      <w:r>
        <w:rPr>
          <w:highlight w:val="yellow"/>
        </w:rPr>
        <w:tab/>
      </w:r>
      <w:r>
        <w:rPr>
          <w:highlight w:val="yellow"/>
        </w:rPr>
        <w:tab/>
      </w:r>
      <w:r>
        <w:rPr>
          <w:highlight w:val="yellow"/>
        </w:rPr>
        <w:tab/>
        <w:t>…</w:t>
      </w:r>
      <w:r>
        <w:rPr>
          <w:i/>
          <w:highlight w:val="yellow"/>
        </w:rPr>
        <w:t>Description</w:t>
      </w:r>
      <w:r>
        <w:rPr>
          <w:highlight w:val="yellow"/>
        </w:rPr>
        <w:t xml:space="preserve">… le ... ; </w:t>
      </w:r>
    </w:p>
    <w:p w14:paraId="12E9A61C" w14:textId="77777777" w:rsidR="00E75DAF" w:rsidRPr="00523A7E" w:rsidRDefault="00E75DAF" w:rsidP="009B46C0">
      <w:pPr>
        <w:pStyle w:val="SIK-Standard1"/>
        <w:ind w:left="709"/>
        <w:rPr>
          <w:highlight w:val="yellow"/>
        </w:rPr>
      </w:pPr>
      <w:proofErr w:type="gramStart"/>
      <w:r>
        <w:rPr>
          <w:highlight w:val="yellow"/>
        </w:rPr>
        <w:t>délai</w:t>
      </w:r>
      <w:proofErr w:type="gramEnd"/>
      <w:r>
        <w:rPr>
          <w:highlight w:val="yellow"/>
        </w:rPr>
        <w:t> X</w:t>
      </w:r>
      <w:r>
        <w:rPr>
          <w:highlight w:val="yellow"/>
        </w:rPr>
        <w:tab/>
      </w:r>
      <w:r>
        <w:rPr>
          <w:highlight w:val="yellow"/>
        </w:rPr>
        <w:tab/>
      </w:r>
      <w:r>
        <w:rPr>
          <w:highlight w:val="yellow"/>
        </w:rPr>
        <w:tab/>
        <w:t>…</w:t>
      </w:r>
      <w:r>
        <w:rPr>
          <w:i/>
          <w:highlight w:val="yellow"/>
        </w:rPr>
        <w:t>Description</w:t>
      </w:r>
      <w:r>
        <w:rPr>
          <w:highlight w:val="yellow"/>
        </w:rPr>
        <w:t xml:space="preserve">… le ...]. </w:t>
      </w:r>
    </w:p>
    <w:p w14:paraId="28963BD1" w14:textId="77777777" w:rsidR="00E75DAF" w:rsidRPr="00523A7E" w:rsidRDefault="00E75DAF" w:rsidP="009B46C0">
      <w:pPr>
        <w:pStyle w:val="SIK-Standard1"/>
        <w:ind w:left="709"/>
        <w:rPr>
          <w:i/>
          <w:highlight w:val="yellow"/>
        </w:rPr>
      </w:pPr>
      <w:r>
        <w:rPr>
          <w:i/>
          <w:highlight w:val="yellow"/>
        </w:rPr>
        <w:t>[Fac 2 (aucun)</w:t>
      </w:r>
    </w:p>
    <w:p w14:paraId="26818AE2" w14:textId="77777777" w:rsidR="00D224C7" w:rsidRPr="00523A7E" w:rsidRDefault="00E75DAF" w:rsidP="009B46C0">
      <w:pPr>
        <w:pStyle w:val="SIK-Standard1"/>
        <w:ind w:left="709"/>
        <w:rPr>
          <w:highlight w:val="yellow"/>
        </w:rPr>
      </w:pPr>
      <w:r>
        <w:rPr>
          <w:highlight w:val="yellow"/>
        </w:rPr>
        <w:t>Pas d’autres délais.]</w:t>
      </w:r>
    </w:p>
    <w:p w14:paraId="52B9BE4B" w14:textId="77777777" w:rsidR="008C7ECE" w:rsidRPr="00523A7E" w:rsidRDefault="009337BF" w:rsidP="009B46C0">
      <w:pPr>
        <w:pStyle w:val="SIK-berschrift1"/>
      </w:pPr>
      <w:bookmarkStart w:id="6" w:name="_Toc197702904"/>
      <w:r>
        <w:t xml:space="preserve">7. </w:t>
      </w:r>
      <w:r>
        <w:tab/>
        <w:t>Rémunération</w:t>
      </w:r>
      <w:bookmarkEnd w:id="6"/>
    </w:p>
    <w:p w14:paraId="3AC613F2" w14:textId="77777777" w:rsidR="008C7ECE" w:rsidRPr="00523A7E" w:rsidRDefault="00687E11" w:rsidP="009B46C0">
      <w:pPr>
        <w:pStyle w:val="SIK-Standard1"/>
      </w:pPr>
      <w:r>
        <w:t xml:space="preserve">Conformément au ch. 13.1 des CG 2025 de l’ANS, les parties contractantes conviennent de rémunérer les prestations contractuelles au prix fixe total de </w:t>
      </w:r>
      <w:r>
        <w:rPr>
          <w:b/>
          <w:highlight w:val="yellow"/>
        </w:rPr>
        <w:t>[...] </w:t>
      </w:r>
      <w:r>
        <w:rPr>
          <w:b/>
        </w:rPr>
        <w:t>francs</w:t>
      </w:r>
      <w:r>
        <w:t>.</w:t>
      </w:r>
    </w:p>
    <w:p w14:paraId="5BF7F671" w14:textId="77777777" w:rsidR="00BF317E" w:rsidRPr="00523A7E" w:rsidRDefault="0065399D" w:rsidP="009B46C0">
      <w:pPr>
        <w:pStyle w:val="SIK-Standard1"/>
        <w:rPr>
          <w:highlight w:val="yellow"/>
        </w:rPr>
      </w:pPr>
      <w:r>
        <w:rPr>
          <w:highlight w:val="yellow"/>
        </w:rPr>
        <w:t>[</w:t>
      </w:r>
      <w:r>
        <w:rPr>
          <w:i/>
          <w:highlight w:val="yellow"/>
        </w:rPr>
        <w:t>Fac (description détaillée de chaque position)</w:t>
      </w:r>
    </w:p>
    <w:p w14:paraId="52B62A7C" w14:textId="77777777" w:rsidR="0065399D" w:rsidRPr="00523A7E" w:rsidRDefault="0065399D" w:rsidP="009B46C0">
      <w:pPr>
        <w:pStyle w:val="SIK-Standard1"/>
        <w:rPr>
          <w:highlight w:val="yellow"/>
        </w:rPr>
      </w:pPr>
      <w:r>
        <w:rPr>
          <w:highlight w:val="yellow"/>
        </w:rPr>
        <w:t>Ce montant se compose comme suit :</w:t>
      </w:r>
    </w:p>
    <w:p w14:paraId="3188C44B" w14:textId="77777777" w:rsidR="0065399D" w:rsidRPr="00523A7E" w:rsidRDefault="0065399D" w:rsidP="00A96F6E">
      <w:pPr>
        <w:pStyle w:val="SIK-Standard1"/>
        <w:ind w:left="709"/>
        <w:rPr>
          <w:highlight w:val="yellow"/>
        </w:rPr>
      </w:pPr>
      <w:r>
        <w:rPr>
          <w:highlight w:val="yellow"/>
        </w:rPr>
        <w:t>a) …</w:t>
      </w:r>
      <w:r>
        <w:rPr>
          <w:i/>
          <w:highlight w:val="yellow"/>
        </w:rPr>
        <w:t>description pos. 1</w:t>
      </w:r>
      <w:r>
        <w:rPr>
          <w:highlight w:val="yellow"/>
        </w:rPr>
        <w:t>…</w:t>
      </w:r>
      <w:r>
        <w:rPr>
          <w:highlight w:val="yellow"/>
        </w:rPr>
        <w:tab/>
      </w:r>
      <w:r>
        <w:rPr>
          <w:highlight w:val="yellow"/>
        </w:rPr>
        <w:tab/>
      </w:r>
      <w:r>
        <w:rPr>
          <w:highlight w:val="yellow"/>
        </w:rPr>
        <w:tab/>
      </w:r>
      <w:r>
        <w:rPr>
          <w:highlight w:val="yellow"/>
        </w:rPr>
        <w:tab/>
      </w:r>
      <w:r>
        <w:rPr>
          <w:highlight w:val="yellow"/>
        </w:rPr>
        <w:tab/>
      </w:r>
      <w:r>
        <w:rPr>
          <w:highlight w:val="yellow"/>
        </w:rPr>
        <w:tab/>
        <w:t>...</w:t>
      </w:r>
      <w:r>
        <w:rPr>
          <w:highlight w:val="yellow"/>
        </w:rPr>
        <w:tab/>
      </w:r>
      <w:proofErr w:type="gramStart"/>
      <w:r>
        <w:rPr>
          <w:highlight w:val="yellow"/>
        </w:rPr>
        <w:t>francs</w:t>
      </w:r>
      <w:proofErr w:type="gramEnd"/>
    </w:p>
    <w:p w14:paraId="66DF44A4" w14:textId="77777777" w:rsidR="0065399D" w:rsidRPr="00523A7E" w:rsidRDefault="0065399D" w:rsidP="00A96F6E">
      <w:pPr>
        <w:pStyle w:val="SIK-Standard1"/>
        <w:ind w:left="709"/>
        <w:rPr>
          <w:highlight w:val="yellow"/>
        </w:rPr>
      </w:pPr>
      <w:r>
        <w:rPr>
          <w:highlight w:val="yellow"/>
        </w:rPr>
        <w:t>b) …</w:t>
      </w:r>
      <w:r>
        <w:rPr>
          <w:i/>
          <w:highlight w:val="yellow"/>
        </w:rPr>
        <w:t>description pos. 2</w:t>
      </w:r>
      <w:r>
        <w:rPr>
          <w:highlight w:val="yellow"/>
        </w:rPr>
        <w:t>…</w:t>
      </w:r>
      <w:r>
        <w:rPr>
          <w:highlight w:val="yellow"/>
        </w:rPr>
        <w:tab/>
      </w:r>
      <w:r>
        <w:rPr>
          <w:highlight w:val="yellow"/>
        </w:rPr>
        <w:tab/>
      </w:r>
      <w:r>
        <w:rPr>
          <w:highlight w:val="yellow"/>
        </w:rPr>
        <w:tab/>
      </w:r>
      <w:r>
        <w:rPr>
          <w:highlight w:val="yellow"/>
        </w:rPr>
        <w:tab/>
      </w:r>
      <w:r>
        <w:rPr>
          <w:highlight w:val="yellow"/>
        </w:rPr>
        <w:tab/>
      </w:r>
      <w:r>
        <w:rPr>
          <w:highlight w:val="yellow"/>
        </w:rPr>
        <w:tab/>
        <w:t>...</w:t>
      </w:r>
      <w:r>
        <w:rPr>
          <w:highlight w:val="yellow"/>
        </w:rPr>
        <w:tab/>
      </w:r>
      <w:proofErr w:type="gramStart"/>
      <w:r>
        <w:rPr>
          <w:highlight w:val="yellow"/>
        </w:rPr>
        <w:t>francs</w:t>
      </w:r>
      <w:proofErr w:type="gramEnd"/>
    </w:p>
    <w:p w14:paraId="1E5927CA" w14:textId="77777777" w:rsidR="0065399D" w:rsidRPr="00523A7E" w:rsidRDefault="0065399D" w:rsidP="00A96F6E">
      <w:pPr>
        <w:pStyle w:val="SIK-Standard1"/>
        <w:ind w:left="709"/>
        <w:rPr>
          <w:highlight w:val="yellow"/>
        </w:rPr>
      </w:pPr>
      <w:r>
        <w:rPr>
          <w:highlight w:val="yellow"/>
        </w:rPr>
        <w:t>c) …</w:t>
      </w:r>
      <w:r>
        <w:rPr>
          <w:i/>
          <w:highlight w:val="yellow"/>
        </w:rPr>
        <w:t>description pos. 3</w:t>
      </w:r>
      <w:r>
        <w:rPr>
          <w:highlight w:val="yellow"/>
        </w:rPr>
        <w:t>…</w:t>
      </w:r>
      <w:r>
        <w:rPr>
          <w:highlight w:val="yellow"/>
        </w:rPr>
        <w:tab/>
      </w:r>
      <w:r>
        <w:rPr>
          <w:highlight w:val="yellow"/>
        </w:rPr>
        <w:tab/>
      </w:r>
      <w:r>
        <w:rPr>
          <w:highlight w:val="yellow"/>
        </w:rPr>
        <w:tab/>
      </w:r>
      <w:r>
        <w:rPr>
          <w:highlight w:val="yellow"/>
        </w:rPr>
        <w:tab/>
      </w:r>
      <w:r>
        <w:rPr>
          <w:highlight w:val="yellow"/>
        </w:rPr>
        <w:tab/>
      </w:r>
      <w:r>
        <w:rPr>
          <w:highlight w:val="yellow"/>
        </w:rPr>
        <w:tab/>
        <w:t>...</w:t>
      </w:r>
      <w:r>
        <w:rPr>
          <w:highlight w:val="yellow"/>
        </w:rPr>
        <w:tab/>
      </w:r>
      <w:proofErr w:type="gramStart"/>
      <w:r>
        <w:rPr>
          <w:highlight w:val="yellow"/>
        </w:rPr>
        <w:t>francs</w:t>
      </w:r>
      <w:proofErr w:type="gramEnd"/>
    </w:p>
    <w:p w14:paraId="5D582C8C" w14:textId="77777777" w:rsidR="0065399D" w:rsidRPr="00523A7E" w:rsidRDefault="0065399D" w:rsidP="00A96F6E">
      <w:pPr>
        <w:pStyle w:val="SIK-Standard1"/>
        <w:ind w:left="709"/>
        <w:rPr>
          <w:highlight w:val="yellow"/>
        </w:rPr>
      </w:pPr>
      <w:r>
        <w:rPr>
          <w:highlight w:val="yellow"/>
        </w:rPr>
        <w:t>x) …</w:t>
      </w:r>
      <w:r>
        <w:rPr>
          <w:i/>
          <w:highlight w:val="yellow"/>
        </w:rPr>
        <w:t>description pos. X</w:t>
      </w:r>
      <w:r>
        <w:rPr>
          <w:highlight w:val="yellow"/>
        </w:rPr>
        <w:t>…</w:t>
      </w:r>
      <w:r>
        <w:rPr>
          <w:highlight w:val="yellow"/>
        </w:rPr>
        <w:tab/>
      </w:r>
      <w:r>
        <w:rPr>
          <w:highlight w:val="yellow"/>
        </w:rPr>
        <w:tab/>
      </w:r>
      <w:r>
        <w:rPr>
          <w:highlight w:val="yellow"/>
        </w:rPr>
        <w:tab/>
      </w:r>
      <w:r>
        <w:rPr>
          <w:highlight w:val="yellow"/>
        </w:rPr>
        <w:tab/>
      </w:r>
      <w:r>
        <w:rPr>
          <w:highlight w:val="yellow"/>
        </w:rPr>
        <w:tab/>
      </w:r>
      <w:r>
        <w:rPr>
          <w:highlight w:val="yellow"/>
        </w:rPr>
        <w:tab/>
        <w:t>...</w:t>
      </w:r>
      <w:r>
        <w:rPr>
          <w:highlight w:val="yellow"/>
        </w:rPr>
        <w:tab/>
      </w:r>
      <w:proofErr w:type="gramStart"/>
      <w:r>
        <w:rPr>
          <w:highlight w:val="yellow"/>
        </w:rPr>
        <w:t>francs</w:t>
      </w:r>
      <w:proofErr w:type="gramEnd"/>
    </w:p>
    <w:p w14:paraId="1AB1F198" w14:textId="79B5A181" w:rsidR="00BD28F1" w:rsidRPr="00523A7E" w:rsidRDefault="00BD28F1" w:rsidP="00A96F6E">
      <w:pPr>
        <w:pStyle w:val="SIK-Standard1"/>
        <w:ind w:left="709"/>
        <w:rPr>
          <w:b/>
          <w:highlight w:val="yellow"/>
        </w:rPr>
      </w:pPr>
      <w:r>
        <w:rPr>
          <w:b/>
          <w:highlight w:val="yellow"/>
        </w:rPr>
        <w:t>Prix fixe</w:t>
      </w:r>
      <w:r>
        <w:rPr>
          <w:b/>
          <w:highlight w:val="yellow"/>
        </w:rPr>
        <w:tab/>
      </w:r>
      <w:r>
        <w:rPr>
          <w:b/>
          <w:highlight w:val="yellow"/>
        </w:rPr>
        <w:tab/>
      </w:r>
      <w:r>
        <w:rPr>
          <w:b/>
          <w:highlight w:val="yellow"/>
        </w:rPr>
        <w:tab/>
      </w:r>
      <w:r>
        <w:rPr>
          <w:b/>
          <w:highlight w:val="yellow"/>
        </w:rPr>
        <w:tab/>
      </w:r>
      <w:r>
        <w:rPr>
          <w:b/>
          <w:highlight w:val="yellow"/>
        </w:rPr>
        <w:tab/>
      </w:r>
      <w:r>
        <w:rPr>
          <w:b/>
          <w:highlight w:val="yellow"/>
        </w:rPr>
        <w:tab/>
      </w:r>
      <w:r>
        <w:rPr>
          <w:b/>
          <w:highlight w:val="yellow"/>
        </w:rPr>
        <w:tab/>
      </w:r>
      <w:r w:rsidR="009339E5">
        <w:rPr>
          <w:b/>
          <w:highlight w:val="yellow"/>
        </w:rPr>
        <w:t>…</w:t>
      </w:r>
      <w:r>
        <w:rPr>
          <w:b/>
          <w:highlight w:val="yellow"/>
        </w:rPr>
        <w:tab/>
      </w:r>
      <w:proofErr w:type="gramStart"/>
      <w:r>
        <w:rPr>
          <w:b/>
          <w:highlight w:val="yellow"/>
        </w:rPr>
        <w:t>francs</w:t>
      </w:r>
      <w:proofErr w:type="gramEnd"/>
      <w:r>
        <w:rPr>
          <w:b/>
          <w:highlight w:val="yellow"/>
        </w:rPr>
        <w:t>]</w:t>
      </w:r>
    </w:p>
    <w:p w14:paraId="378E1BED" w14:textId="77777777" w:rsidR="008C7ECE" w:rsidRPr="00523A7E" w:rsidRDefault="008C7ECE" w:rsidP="009B46C0">
      <w:pPr>
        <w:pStyle w:val="SIK-Standard1"/>
      </w:pPr>
      <w:r>
        <w:t>L’ensemble des frais et redevances (y c. TVA et contribution de recyclage anticipée) visés au ch. 13.3 des CG 2025 de l’ANS sont inclus dans la rémunération convenue.</w:t>
      </w:r>
    </w:p>
    <w:p w14:paraId="61D2266B" w14:textId="77777777" w:rsidR="008C7ECE" w:rsidRPr="00523A7E" w:rsidRDefault="009337BF" w:rsidP="00A96F6E">
      <w:pPr>
        <w:pStyle w:val="SIK-berschrift1"/>
      </w:pPr>
      <w:bookmarkStart w:id="7" w:name="_Toc197702905"/>
      <w:r>
        <w:t xml:space="preserve">8. </w:t>
      </w:r>
      <w:r>
        <w:tab/>
        <w:t>Adresse de facturation</w:t>
      </w:r>
      <w:bookmarkEnd w:id="7"/>
    </w:p>
    <w:p w14:paraId="5618B01C" w14:textId="77777777" w:rsidR="008C7ECE" w:rsidRPr="00523A7E" w:rsidRDefault="008C7ECE" w:rsidP="00A96F6E">
      <w:pPr>
        <w:pStyle w:val="SIK-Standard1"/>
      </w:pPr>
      <w:r>
        <w:t xml:space="preserve">Les factures établies sur la base du présent contrat doivent être envoyées </w:t>
      </w:r>
      <w:proofErr w:type="spellStart"/>
      <w:r>
        <w:t>à</w:t>
      </w:r>
      <w:proofErr w:type="spellEnd"/>
      <w:r>
        <w:t xml:space="preserve"> l’adresse suivante :</w:t>
      </w:r>
    </w:p>
    <w:p w14:paraId="0C2908D4" w14:textId="77777777" w:rsidR="007B104D" w:rsidRPr="00523A7E" w:rsidRDefault="007B104D" w:rsidP="00A96F6E">
      <w:pPr>
        <w:pStyle w:val="SIK-Standard1"/>
        <w:ind w:left="709"/>
      </w:pPr>
      <w:r>
        <w:rPr>
          <w:highlight w:val="yellow"/>
        </w:rPr>
        <w:t>[…</w:t>
      </w:r>
      <w:r>
        <w:rPr>
          <w:i/>
          <w:highlight w:val="yellow"/>
        </w:rPr>
        <w:t>Mentionner l’adresse du bénéficiaire de prestations…</w:t>
      </w:r>
      <w:r>
        <w:rPr>
          <w:highlight w:val="yellow"/>
        </w:rPr>
        <w:t>]</w:t>
      </w:r>
    </w:p>
    <w:p w14:paraId="07B6D595" w14:textId="77777777" w:rsidR="009339E5" w:rsidRDefault="009339E5">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8" w:name="_Toc197702906"/>
      <w:r>
        <w:br w:type="page"/>
      </w:r>
    </w:p>
    <w:p w14:paraId="1D445AA6" w14:textId="4801CA33" w:rsidR="00DA3C03" w:rsidRPr="00523A7E" w:rsidRDefault="009337BF" w:rsidP="00A96F6E">
      <w:pPr>
        <w:pStyle w:val="SIK-berschrift1"/>
      </w:pPr>
      <w:r>
        <w:lastRenderedPageBreak/>
        <w:t>9.</w:t>
      </w:r>
      <w:r>
        <w:tab/>
        <w:t>Lieu d’exécution</w:t>
      </w:r>
      <w:bookmarkEnd w:id="8"/>
    </w:p>
    <w:p w14:paraId="62565D88" w14:textId="77777777" w:rsidR="00DA3C03" w:rsidRPr="00523A7E" w:rsidRDefault="00DA3C03" w:rsidP="00A96F6E">
      <w:pPr>
        <w:pStyle w:val="SIK-Standard1"/>
      </w:pPr>
      <w:r>
        <w:t xml:space="preserve">En application du ch. 6.1 des CG 2025 de l’ANS, les parties contractantes conviennent que l’installation ou, si aucune prestation d’installation n’est explicitement requise, la fourniture des objets de la vente et d’autres prestations est exécutée par le prestataire au lieu suivant : </w:t>
      </w:r>
    </w:p>
    <w:p w14:paraId="264F1255" w14:textId="77777777" w:rsidR="00DA3C03" w:rsidRPr="00523A7E" w:rsidRDefault="00FC5550" w:rsidP="00A96F6E">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[Siège du bénéficiaire de prestations …</w:t>
      </w:r>
      <w:r>
        <w:rPr>
          <w:rFonts w:asciiTheme="minorHAnsi" w:hAnsiTheme="minorHAnsi"/>
          <w:i/>
          <w:highlight w:val="yellow"/>
        </w:rPr>
        <w:t>mentionner l’adresse…</w:t>
      </w:r>
      <w:r>
        <w:rPr>
          <w:rFonts w:asciiTheme="minorHAnsi" w:hAnsiTheme="minorHAnsi"/>
          <w:highlight w:val="yellow"/>
        </w:rPr>
        <w:t>]</w:t>
      </w:r>
    </w:p>
    <w:p w14:paraId="427F1E3F" w14:textId="77777777" w:rsidR="00DA3C03" w:rsidRPr="00523A7E" w:rsidRDefault="00DA3C03" w:rsidP="00A96F6E">
      <w:pPr>
        <w:pStyle w:val="SIK-Standard1"/>
        <w:ind w:left="709"/>
        <w:rPr>
          <w:i/>
          <w:highlight w:val="yellow"/>
        </w:rPr>
      </w:pPr>
      <w:r>
        <w:rPr>
          <w:i/>
          <w:highlight w:val="yellow"/>
        </w:rPr>
        <w:t>[Fac (autres lieux d’exécution)</w:t>
      </w:r>
    </w:p>
    <w:p w14:paraId="21B828C9" w14:textId="77777777" w:rsidR="00DA3C03" w:rsidRPr="00523A7E" w:rsidRDefault="00DA3C03" w:rsidP="00A96F6E">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ind w:left="1066" w:hanging="357"/>
        <w:rPr>
          <w:rFonts w:asciiTheme="minorHAnsi" w:hAnsiTheme="minorHAnsi"/>
        </w:rPr>
      </w:pPr>
      <w:r>
        <w:rPr>
          <w:rFonts w:asciiTheme="minorHAnsi" w:hAnsiTheme="minorHAnsi"/>
          <w:highlight w:val="yellow"/>
        </w:rPr>
        <w:t xml:space="preserve">Elles conviennent d’un lieu d’exécution particulier pour les prestations suivantes : </w:t>
      </w:r>
      <w:r>
        <w:rPr>
          <w:rFonts w:asciiTheme="minorHAnsi" w:hAnsiTheme="minorHAnsi"/>
          <w:i/>
          <w:highlight w:val="yellow"/>
        </w:rPr>
        <w:t>…définir, au besoin, un lieu d’exécution différent en fonction de l’objet de la vente / de la prestation d’instruction / de toute autre prestation…</w:t>
      </w:r>
      <w:r>
        <w:rPr>
          <w:rFonts w:asciiTheme="minorHAnsi" w:hAnsiTheme="minorHAnsi"/>
          <w:highlight w:val="yellow"/>
        </w:rPr>
        <w:t>].</w:t>
      </w:r>
    </w:p>
    <w:p w14:paraId="31016EF4" w14:textId="77777777" w:rsidR="00541381" w:rsidRPr="00523A7E" w:rsidRDefault="009337BF" w:rsidP="00541381">
      <w:pPr>
        <w:pStyle w:val="SIK-berschrift1"/>
      </w:pPr>
      <w:bookmarkStart w:id="9" w:name="_Toc197702907"/>
      <w:r>
        <w:t>10.</w:t>
      </w:r>
      <w:r>
        <w:tab/>
        <w:t>Modalités de réception</w:t>
      </w:r>
      <w:bookmarkEnd w:id="9"/>
    </w:p>
    <w:p w14:paraId="1F0A4881" w14:textId="5695F03D" w:rsidR="00541381" w:rsidRPr="00523A7E" w:rsidRDefault="00541381" w:rsidP="0054138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En application du ch. 28.2 des CG 2025 de l’ANS, les parties cont</w:t>
      </w:r>
      <w:r w:rsidR="009339E5">
        <w:rPr>
          <w:rFonts w:asciiTheme="minorHAnsi" w:hAnsiTheme="minorHAnsi"/>
        </w:rPr>
        <w:t>r</w:t>
      </w:r>
      <w:r>
        <w:rPr>
          <w:rFonts w:asciiTheme="minorHAnsi" w:hAnsiTheme="minorHAnsi"/>
        </w:rPr>
        <w:t>actantes conviennent des modalités de réception suivantes :</w:t>
      </w:r>
    </w:p>
    <w:p w14:paraId="688C49BD" w14:textId="77777777" w:rsidR="00541381" w:rsidRPr="00523A7E"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(énumération des modalités dans le contrat)</w:t>
      </w:r>
    </w:p>
    <w:p w14:paraId="68F5BF6F" w14:textId="77777777" w:rsidR="00541381" w:rsidRPr="00523A7E"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 indiquer au moins la date de réception et définir le calendrier du contrôle commun, la procédure de réception, les critères de réception (par ex. fonctions, disponibilité, caractéristiques des prestations), la qualification des défauts et les devoirs de collaboration du bénéficiaire de prestations...</w:t>
      </w:r>
    </w:p>
    <w:p w14:paraId="36BDF51E" w14:textId="77777777" w:rsidR="00541381" w:rsidRPr="00523A7E"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Fac 2 (énumération des modalités en annexe)</w:t>
      </w:r>
    </w:p>
    <w:p w14:paraId="30715A0A" w14:textId="77777777" w:rsidR="00541381" w:rsidRPr="00523A7E" w:rsidRDefault="00541381" w:rsidP="00541381">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rPr>
      </w:pPr>
      <w:r>
        <w:rPr>
          <w:rFonts w:asciiTheme="minorHAnsi" w:hAnsiTheme="minorHAnsi"/>
          <w:highlight w:val="yellow"/>
        </w:rPr>
        <w:t>Les modalités de réception sont définies dans l’annexe ... « Modalités de réception ».]</w:t>
      </w:r>
    </w:p>
    <w:p w14:paraId="0797F8D2" w14:textId="77777777" w:rsidR="008C7ECE" w:rsidRPr="00523A7E" w:rsidRDefault="006538D1" w:rsidP="00A96F6E">
      <w:pPr>
        <w:pStyle w:val="SIK-berschrift1"/>
      </w:pPr>
      <w:bookmarkStart w:id="10" w:name="_Toc197702908"/>
      <w:r>
        <w:t>11.</w:t>
      </w:r>
      <w:r>
        <w:tab/>
        <w:t>Accords spéciaux</w:t>
      </w:r>
      <w:bookmarkEnd w:id="10"/>
    </w:p>
    <w:p w14:paraId="6C3132D4" w14:textId="77777777" w:rsidR="00DA3C03" w:rsidRPr="00523A7E" w:rsidRDefault="00DA3C03" w:rsidP="00A96F6E">
      <w:pPr>
        <w:pStyle w:val="SIK-Standard1"/>
      </w:pPr>
      <w:r>
        <w:t>En complément des CG 2025 de l’ANS ou par dérogation à ces conditions, les règles suivantes s’appliquent :</w:t>
      </w:r>
    </w:p>
    <w:p w14:paraId="3677E51B" w14:textId="77777777" w:rsidR="00E75DAF" w:rsidRPr="00523A7E" w:rsidRDefault="00117E97"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309CFA7A" w14:textId="77777777" w:rsidR="00E75DAF" w:rsidRPr="00523A7E" w:rsidRDefault="004E6CB2"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 xml:space="preserve">Aucune dérogation ni complément ne sont nécessaires. </w:t>
      </w:r>
    </w:p>
    <w:p w14:paraId="1141E09B" w14:textId="77777777" w:rsidR="00BC2C37" w:rsidRPr="00523A7E" w:rsidRDefault="00BC2C37"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[Fac 2 (description)</w:t>
      </w:r>
    </w:p>
    <w:p w14:paraId="27525C52" w14:textId="77777777" w:rsidR="00F67196" w:rsidRPr="00523A7E" w:rsidRDefault="00B02596"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 xml:space="preserve">Mentionner l’ensemble des dispositions complétant les CG 2025 de l’ANS ou y dérogeant. Ces clauses doivent faire l’objet d’un contrôle particulier visant </w:t>
      </w:r>
      <w:proofErr w:type="spellStart"/>
      <w:r>
        <w:rPr>
          <w:rFonts w:asciiTheme="minorHAnsi" w:hAnsiTheme="minorHAnsi"/>
          <w:i/>
          <w:highlight w:val="yellow"/>
        </w:rPr>
        <w:t>à</w:t>
      </w:r>
      <w:proofErr w:type="spellEnd"/>
      <w:r>
        <w:rPr>
          <w:rFonts w:asciiTheme="minorHAnsi" w:hAnsiTheme="minorHAnsi"/>
          <w:i/>
          <w:highlight w:val="yellow"/>
        </w:rPr>
        <w:t xml:space="preserve"> en garantir la conformité avec le reste des clauses contractuelles. Si elles sont pertinentes pour le cas d’espèce, les clauses énoncées dans la liste de contrôle II peuvent être reprises et modifiées selon les besoins...</w:t>
      </w:r>
      <w:r>
        <w:rPr>
          <w:rFonts w:asciiTheme="minorHAnsi" w:hAnsiTheme="minorHAnsi"/>
          <w:highlight w:val="yellow"/>
        </w:rPr>
        <w:t xml:space="preserve">] </w:t>
      </w:r>
    </w:p>
    <w:p w14:paraId="1DAC909B" w14:textId="77777777" w:rsidR="002B3ADA" w:rsidRPr="00523A7E" w:rsidRDefault="002B3ADA"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Préciser le cas échéant que l’installation des objets de la vente n’est pas requise.</w:t>
      </w:r>
    </w:p>
    <w:p w14:paraId="0034437C" w14:textId="77777777" w:rsidR="002B3ADA" w:rsidRPr="00523A7E" w:rsidRDefault="00A36340"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Fac 3 ou fac complétant la fac 2 (installation par le bénéficiaire de prestations)</w:t>
      </w:r>
    </w:p>
    <w:p w14:paraId="700D8FDC" w14:textId="77777777" w:rsidR="002B3ADA" w:rsidRPr="00523A7E" w:rsidRDefault="002B3ADA"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 xml:space="preserve">Par dérogation au ch. 29.2 des CG 2025 de l’ANS, le bénéficiaire de prestations installe lui-même les prestations commandées en s’appuyant </w:t>
      </w:r>
      <w:proofErr w:type="spellStart"/>
      <w:r>
        <w:rPr>
          <w:rFonts w:asciiTheme="minorHAnsi" w:hAnsiTheme="minorHAnsi"/>
          <w:highlight w:val="yellow"/>
        </w:rPr>
        <w:t>à</w:t>
      </w:r>
      <w:proofErr w:type="spellEnd"/>
      <w:r>
        <w:rPr>
          <w:rFonts w:asciiTheme="minorHAnsi" w:hAnsiTheme="minorHAnsi"/>
          <w:highlight w:val="yellow"/>
        </w:rPr>
        <w:t xml:space="preserve"> cet effet sur les instructions d’installation du prestataire.</w:t>
      </w:r>
    </w:p>
    <w:p w14:paraId="5354E462" w14:textId="77777777" w:rsidR="00541381" w:rsidRPr="00523A7E" w:rsidRDefault="00541381" w:rsidP="0054138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lastRenderedPageBreak/>
        <w:t xml:space="preserve">Le contrat doit régler distinctement chaque cas dans lesquels il est prévu de déroger aux dispositions des CG 2025 de l’ANS relatives à l’achat de matériel informatique, </w:t>
      </w:r>
      <w:proofErr w:type="spellStart"/>
      <w:r>
        <w:rPr>
          <w:rFonts w:asciiTheme="minorHAnsi" w:hAnsiTheme="minorHAnsi"/>
          <w:i/>
          <w:highlight w:val="yellow"/>
        </w:rPr>
        <w:t>à</w:t>
      </w:r>
      <w:proofErr w:type="spellEnd"/>
      <w:r>
        <w:rPr>
          <w:rFonts w:asciiTheme="minorHAnsi" w:hAnsiTheme="minorHAnsi"/>
          <w:i/>
          <w:highlight w:val="yellow"/>
        </w:rPr>
        <w:t xml:space="preserve"> savoir en particulier les dispositions suivantes </w:t>
      </w:r>
      <w:r>
        <w:rPr>
          <w:rFonts w:asciiTheme="minorHAnsi" w:hAnsiTheme="minorHAnsi"/>
          <w:highlight w:val="yellow"/>
        </w:rPr>
        <w:t>:</w:t>
      </w:r>
    </w:p>
    <w:p w14:paraId="7ACA5665" w14:textId="77777777" w:rsidR="00541381" w:rsidRPr="00523A7E" w:rsidRDefault="00541381" w:rsidP="00541381">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ch. 10.1 : langue de la documentation ;</w:t>
      </w:r>
    </w:p>
    <w:p w14:paraId="3F6155E1" w14:textId="77777777" w:rsidR="00541381" w:rsidRPr="00523A7E" w:rsidRDefault="00541381" w:rsidP="00541381">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ch. 20.6 : garantie ;</w:t>
      </w:r>
    </w:p>
    <w:p w14:paraId="142875E1" w14:textId="77777777" w:rsidR="00541381" w:rsidRPr="00523A7E" w:rsidRDefault="00541381" w:rsidP="00541381">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highlight w:val="yellow"/>
        </w:rPr>
      </w:pPr>
      <w:r>
        <w:rPr>
          <w:rFonts w:asciiTheme="minorHAnsi" w:hAnsiTheme="minorHAnsi"/>
          <w:i/>
          <w:highlight w:val="yellow"/>
        </w:rPr>
        <w:t>ch. 26 : droit applicable et for.</w:t>
      </w:r>
    </w:p>
    <w:p w14:paraId="6F3EE3BF" w14:textId="77777777" w:rsidR="005E1733" w:rsidRPr="00523A7E" w:rsidRDefault="005E1733"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p>
    <w:p w14:paraId="5AB3FA44" w14:textId="77777777" w:rsidR="005E1733" w:rsidRPr="00523A7E" w:rsidRDefault="006F3CB1"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Autre remarque :</w:t>
      </w:r>
    </w:p>
    <w:p w14:paraId="4594E17D" w14:textId="5DDE3565" w:rsidR="008C7ECE" w:rsidRPr="00523A7E" w:rsidRDefault="005E1733"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 xml:space="preserve">Lorsqu’elle dépasse les limites d’une prestation </w:t>
      </w:r>
      <w:r w:rsidR="001673CF">
        <w:rPr>
          <w:rFonts w:asciiTheme="minorHAnsi" w:hAnsiTheme="minorHAnsi"/>
          <w:i/>
          <w:highlight w:val="yellow"/>
        </w:rPr>
        <w:t>supplémentaire</w:t>
      </w:r>
      <w:r>
        <w:rPr>
          <w:rFonts w:asciiTheme="minorHAnsi" w:hAnsiTheme="minorHAnsi"/>
          <w:i/>
          <w:highlight w:val="yellow"/>
        </w:rPr>
        <w:t xml:space="preserve"> secondaire, l’obligation d’installer, voire de paramétrer ou de modifier des interfaces ou raccordements d’autres accessoires, systèmes ou équipements similaires est automatiquement considérée comme l</w:t>
      </w:r>
      <w:proofErr w:type="gramStart"/>
      <w:r>
        <w:rPr>
          <w:rFonts w:asciiTheme="minorHAnsi" w:hAnsiTheme="minorHAnsi"/>
          <w:i/>
          <w:highlight w:val="yellow"/>
        </w:rPr>
        <w:t>’«</w:t>
      </w:r>
      <w:proofErr w:type="gramEnd"/>
      <w:r>
        <w:rPr>
          <w:rFonts w:asciiTheme="minorHAnsi" w:hAnsiTheme="minorHAnsi"/>
          <w:i/>
          <w:highlight w:val="yellow"/>
        </w:rPr>
        <w:t> acquisition d’un système global ». Dans le doute, il est préférable d’utiliser le modèle de contrat </w:t>
      </w:r>
      <w:r>
        <w:rPr>
          <w:rFonts w:asciiTheme="minorHAnsi" w:hAnsiTheme="minorHAnsi"/>
          <w:b/>
          <w:i/>
          <w:highlight w:val="yellow"/>
        </w:rPr>
        <w:t>WKV 1</w:t>
      </w:r>
      <w:r>
        <w:rPr>
          <w:rFonts w:asciiTheme="minorHAnsi" w:hAnsiTheme="minorHAnsi"/>
          <w:i/>
          <w:highlight w:val="yellow"/>
        </w:rPr>
        <w:t>...</w:t>
      </w:r>
      <w:r>
        <w:rPr>
          <w:rFonts w:asciiTheme="minorHAnsi" w:hAnsiTheme="minorHAnsi"/>
          <w:highlight w:val="yellow"/>
        </w:rPr>
        <w:t xml:space="preserve">] </w:t>
      </w:r>
    </w:p>
    <w:p w14:paraId="7B9B49A1" w14:textId="77777777" w:rsidR="0080048E" w:rsidRPr="00523A7E" w:rsidRDefault="0080048E" w:rsidP="00A96F6E">
      <w:pPr>
        <w:pStyle w:val="SIK-berschrift1"/>
      </w:pPr>
      <w:bookmarkStart w:id="11" w:name="_Toc197702909"/>
      <w:r>
        <w:t xml:space="preserve">12. </w:t>
      </w:r>
      <w:r>
        <w:tab/>
        <w:t>Dispositions finales</w:t>
      </w:r>
      <w:bookmarkEnd w:id="11"/>
    </w:p>
    <w:p w14:paraId="0F64A1CC" w14:textId="77777777" w:rsidR="0080048E" w:rsidRPr="00523A7E" w:rsidRDefault="0080048E" w:rsidP="00A96F6E">
      <w:pPr>
        <w:pStyle w:val="SIK-Standard1"/>
        <w:rPr>
          <w:u w:val="single"/>
        </w:rPr>
      </w:pPr>
      <w:r>
        <w:rPr>
          <w:u w:val="single"/>
        </w:rPr>
        <w:t>Forme écrite</w:t>
      </w:r>
    </w:p>
    <w:p w14:paraId="229FCFC6" w14:textId="77777777" w:rsidR="0080048E" w:rsidRPr="00523A7E" w:rsidRDefault="0080048E" w:rsidP="00A96F6E">
      <w:pPr>
        <w:pStyle w:val="SIK-Standard1"/>
      </w:pPr>
      <w:r>
        <w:t>Pour être valables, les modifications du présent contrat ainsi que celles de ses annexes et éléments constitutifs, doivent être effectuées en la forme écrite. Elles doivent aussi renvoyer au présent contrat et être assorties d’une signature juridiquement valable des deux parties contractantes.</w:t>
      </w:r>
    </w:p>
    <w:p w14:paraId="67F2AF67" w14:textId="77777777" w:rsidR="0080048E" w:rsidRPr="00523A7E" w:rsidRDefault="0080048E" w:rsidP="00A96F6E">
      <w:pPr>
        <w:pStyle w:val="SIK-Standard1"/>
        <w:rPr>
          <w:u w:val="single"/>
        </w:rPr>
      </w:pPr>
      <w:r>
        <w:rPr>
          <w:u w:val="single"/>
        </w:rPr>
        <w:t xml:space="preserve">Transparence </w:t>
      </w:r>
    </w:p>
    <w:p w14:paraId="643FDF67" w14:textId="77777777" w:rsidR="0080048E" w:rsidRPr="00523A7E" w:rsidRDefault="0080048E" w:rsidP="00A96F6E">
      <w:pPr>
        <w:pStyle w:val="SIK-Standard1"/>
      </w:pPr>
      <w:r>
        <w:t>Les parties contractantes connaissent les obligations fixées aux ch. 15 et 16 des CG 2025 de l’ANS. Elles savent donc que les administrations publiques sont légalement soumises au principe de transparence en Suisse et que les devoirs de confidentialité existants peuvent par conséquent être restreints.</w:t>
      </w:r>
    </w:p>
    <w:p w14:paraId="016A5C39" w14:textId="77777777" w:rsidR="0080048E" w:rsidRPr="00523A7E" w:rsidRDefault="0080048E" w:rsidP="00A96F6E">
      <w:pPr>
        <w:pStyle w:val="SIK-Standard1"/>
        <w:rPr>
          <w:u w:val="single"/>
        </w:rPr>
      </w:pPr>
      <w:r>
        <w:rPr>
          <w:u w:val="single"/>
        </w:rPr>
        <w:t>Nullité partielle</w:t>
      </w:r>
    </w:p>
    <w:p w14:paraId="6860961A" w14:textId="77777777" w:rsidR="0080048E" w:rsidRPr="00523A7E" w:rsidRDefault="0080048E" w:rsidP="00A96F6E">
      <w:pPr>
        <w:pStyle w:val="SIK-Standard1"/>
      </w:pPr>
      <w:r>
        <w:t xml:space="preserve">La nullité ou l’invalidité de certaines clauses du présent contrat, de ses annexes ou de ses éléments constitutifs ne remet pas en cause l’application des autres clauses. Dans ce cas, les clauses nulles ou juridiquement non valables sont remplacées par des clauses juridiquement valables qui, dans la mesure où le droit le permet, ont une incidence économique aussi semblable que possible </w:t>
      </w:r>
      <w:proofErr w:type="spellStart"/>
      <w:r>
        <w:t>à</w:t>
      </w:r>
      <w:proofErr w:type="spellEnd"/>
      <w:r>
        <w:t xml:space="preserve"> celle des clauses réputées nulles ou juridiquement non valables.</w:t>
      </w:r>
    </w:p>
    <w:p w14:paraId="1C968C6D" w14:textId="77777777" w:rsidR="009339E5" w:rsidRDefault="009339E5">
      <w:pPr>
        <w:tabs>
          <w:tab w:val="clear" w:pos="426"/>
          <w:tab w:val="clear" w:pos="851"/>
          <w:tab w:val="clear" w:pos="1276"/>
          <w:tab w:val="clear" w:pos="5216"/>
          <w:tab w:val="clear" w:pos="7938"/>
          <w:tab w:val="clear" w:pos="9299"/>
        </w:tabs>
        <w:spacing w:after="200" w:line="276" w:lineRule="auto"/>
        <w:rPr>
          <w:rFonts w:asciiTheme="minorHAnsi" w:hAnsiTheme="minorHAnsi"/>
          <w:u w:val="single"/>
        </w:rPr>
      </w:pPr>
      <w:r>
        <w:rPr>
          <w:u w:val="single"/>
        </w:rPr>
        <w:br w:type="page"/>
      </w:r>
    </w:p>
    <w:p w14:paraId="5C6B4168" w14:textId="0C2C5A72" w:rsidR="0080048E" w:rsidRPr="00523A7E" w:rsidRDefault="0080048E" w:rsidP="00A96F6E">
      <w:pPr>
        <w:pStyle w:val="SIK-Standard1"/>
        <w:rPr>
          <w:u w:val="single"/>
        </w:rPr>
      </w:pPr>
      <w:r>
        <w:rPr>
          <w:u w:val="single"/>
        </w:rPr>
        <w:lastRenderedPageBreak/>
        <w:t>For</w:t>
      </w:r>
    </w:p>
    <w:p w14:paraId="19B90F8C" w14:textId="77777777" w:rsidR="005B4294" w:rsidRPr="00523A7E" w:rsidRDefault="0080048E" w:rsidP="005B4294">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cstheme="minorHAnsi"/>
        </w:rPr>
        <w:t xml:space="preserve">En cas de différend, les parties contractantes s’engagent </w:t>
      </w:r>
      <w:proofErr w:type="spellStart"/>
      <w:r>
        <w:rPr>
          <w:rFonts w:asciiTheme="minorHAnsi" w:hAnsiTheme="minorHAnsi" w:cstheme="minorHAnsi"/>
        </w:rPr>
        <w:t>à</w:t>
      </w:r>
      <w:proofErr w:type="spellEnd"/>
      <w:r>
        <w:rPr>
          <w:rFonts w:asciiTheme="minorHAnsi" w:hAnsiTheme="minorHAnsi" w:cstheme="minorHAnsi"/>
        </w:rPr>
        <w:t xml:space="preserve"> tenter de bonne foi de trouver un accord à l’amiable. </w:t>
      </w:r>
      <w:r>
        <w:rPr>
          <w:rFonts w:asciiTheme="minorHAnsi" w:hAnsiTheme="minorHAnsi"/>
        </w:rPr>
        <w:t xml:space="preserve">Les différends peuvent toutefois être réglés d’une autre manière dans les cas suivants : (i) une des parties contractantes risque de perdre sa possibilité d’obtenir des mesures provisionnelles ou de faire valoir son droit </w:t>
      </w:r>
      <w:proofErr w:type="spellStart"/>
      <w:r>
        <w:rPr>
          <w:rFonts w:asciiTheme="minorHAnsi" w:hAnsiTheme="minorHAnsi"/>
        </w:rPr>
        <w:t>à</w:t>
      </w:r>
      <w:proofErr w:type="spellEnd"/>
      <w:r>
        <w:rPr>
          <w:rFonts w:asciiTheme="minorHAnsi" w:hAnsiTheme="minorHAnsi"/>
        </w:rPr>
        <w:t xml:space="preserve"> des mesures de ce genre, (ii) une des parties contractantes risque de subir d’autres inconvénients majeurs </w:t>
      </w:r>
      <w:proofErr w:type="spellStart"/>
      <w:r>
        <w:rPr>
          <w:rFonts w:asciiTheme="minorHAnsi" w:hAnsiTheme="minorHAnsi"/>
        </w:rPr>
        <w:t>à</w:t>
      </w:r>
      <w:proofErr w:type="spellEnd"/>
      <w:r>
        <w:rPr>
          <w:rFonts w:asciiTheme="minorHAnsi" w:hAnsiTheme="minorHAnsi"/>
        </w:rPr>
        <w:t xml:space="preserve"> cause des négociations, ou (iii) les parties contractantes ne parviennent pas à trouver un accord à l’amiable ou des motifs objectifs excluent d’emblée tout accord à l’amiable.</w:t>
      </w:r>
    </w:p>
    <w:p w14:paraId="6B961C63" w14:textId="77777777" w:rsidR="005B4294" w:rsidRPr="00523A7E" w:rsidRDefault="005B4294" w:rsidP="005B4294">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Conformément au ch. 26 des CG 2025 de l’ANS, le droit suisse s’applique au présent contrat. Les dispositions de la Convention de Vienne (Convention des Nations Unies sur les contrats de vente internationale de marchandises, conclue </w:t>
      </w:r>
      <w:proofErr w:type="spellStart"/>
      <w:r>
        <w:rPr>
          <w:rFonts w:asciiTheme="minorHAnsi" w:hAnsiTheme="minorHAnsi"/>
        </w:rPr>
        <w:t>à</w:t>
      </w:r>
      <w:proofErr w:type="spellEnd"/>
      <w:r>
        <w:rPr>
          <w:rFonts w:asciiTheme="minorHAnsi" w:hAnsiTheme="minorHAnsi"/>
        </w:rPr>
        <w:t xml:space="preserve"> Vienne le 11 avril 1980) sont exclues. Le for exclusif est le siège du bénéficiaire de prestations.</w:t>
      </w:r>
    </w:p>
    <w:p w14:paraId="78CBFA72" w14:textId="77777777" w:rsidR="0080048E" w:rsidRPr="00523A7E" w:rsidRDefault="0080048E" w:rsidP="0037099D">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4453EA9D" w14:textId="77777777" w:rsidR="008C7ECE" w:rsidRPr="00523A7E" w:rsidRDefault="008C7ECE" w:rsidP="00A96F6E">
      <w:pPr>
        <w:pStyle w:val="SIK-Standard1"/>
        <w:ind w:left="0"/>
      </w:pPr>
      <w:r>
        <w:t>Le présent contrat et ses annexes sont établis en deux exemplaires.</w:t>
      </w:r>
    </w:p>
    <w:p w14:paraId="625C64F8" w14:textId="77777777" w:rsidR="008C7ECE" w:rsidRPr="00523A7E" w:rsidRDefault="008C7ECE" w:rsidP="00A96F6E">
      <w:pPr>
        <w:pStyle w:val="SIK-Standard1"/>
        <w:ind w:left="0"/>
      </w:pPr>
    </w:p>
    <w:p w14:paraId="0D9A796E" w14:textId="77777777" w:rsidR="008C7ECE" w:rsidRPr="00523A7E" w:rsidRDefault="008C7ECE" w:rsidP="00A96F6E">
      <w:pPr>
        <w:pStyle w:val="SIK-Standard1"/>
        <w:ind w:left="0"/>
      </w:pPr>
    </w:p>
    <w:p w14:paraId="7A3123AF" w14:textId="77777777" w:rsidR="008C7ECE" w:rsidRPr="00523A7E" w:rsidRDefault="008C7ECE" w:rsidP="00A96F6E">
      <w:pPr>
        <w:pStyle w:val="SIK-Standard1"/>
        <w:ind w:left="0"/>
        <w:rPr>
          <w:b/>
        </w:rPr>
      </w:pPr>
      <w:r>
        <w:rPr>
          <w:b/>
        </w:rPr>
        <w:t>Signatures</w:t>
      </w:r>
    </w:p>
    <w:p w14:paraId="4A32EFA7" w14:textId="77777777" w:rsidR="008C7ECE" w:rsidRPr="00523A7E" w:rsidRDefault="008C7ECE" w:rsidP="00A96F6E">
      <w:pPr>
        <w:pStyle w:val="SIK-Standard1"/>
        <w:ind w:left="0"/>
      </w:pPr>
    </w:p>
    <w:p w14:paraId="1F20B5E8" w14:textId="77777777" w:rsidR="008C7ECE" w:rsidRPr="00523A7E" w:rsidRDefault="008C7ECE" w:rsidP="00A96F6E">
      <w:pPr>
        <w:pStyle w:val="SIK-Standard1"/>
        <w:tabs>
          <w:tab w:val="left" w:pos="4395"/>
        </w:tabs>
        <w:ind w:left="0"/>
      </w:pPr>
      <w:r>
        <w:t>Lieu, date :</w:t>
      </w:r>
      <w:r>
        <w:tab/>
        <w:t>Lieu, date :</w:t>
      </w:r>
    </w:p>
    <w:p w14:paraId="44EF4FC3" w14:textId="77777777" w:rsidR="008C7ECE" w:rsidRPr="00523A7E" w:rsidRDefault="008C7ECE" w:rsidP="00A96F6E">
      <w:pPr>
        <w:pStyle w:val="SIK-Standard1"/>
        <w:ind w:left="0"/>
      </w:pPr>
    </w:p>
    <w:p w14:paraId="2BD3B472" w14:textId="77777777" w:rsidR="008C7ECE" w:rsidRPr="00523A7E" w:rsidRDefault="008C7ECE" w:rsidP="00A96F6E">
      <w:pPr>
        <w:pStyle w:val="SIK-Standard1"/>
        <w:ind w:left="0"/>
      </w:pPr>
    </w:p>
    <w:p w14:paraId="73BE53A0" w14:textId="77777777" w:rsidR="00636A55" w:rsidRPr="00523A7E" w:rsidRDefault="002E3E5F" w:rsidP="00A96F6E">
      <w:pPr>
        <w:pStyle w:val="SIK-Standard1"/>
        <w:tabs>
          <w:tab w:val="left" w:pos="4395"/>
        </w:tabs>
        <w:ind w:left="0"/>
      </w:pPr>
      <w:r>
        <w:t>Le bénéficiaire de prestations :</w:t>
      </w:r>
      <w:r>
        <w:tab/>
        <w:t>Le prestataire :</w:t>
      </w:r>
    </w:p>
    <w:sectPr w:rsidR="00636A55" w:rsidRPr="00523A7E">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3573" w14:textId="77777777" w:rsidR="00307930" w:rsidRDefault="00307930" w:rsidP="00D224C7">
      <w:r>
        <w:separator/>
      </w:r>
    </w:p>
  </w:endnote>
  <w:endnote w:type="continuationSeparator" w:id="0">
    <w:p w14:paraId="40AFC653" w14:textId="77777777" w:rsidR="00307930" w:rsidRDefault="00307930" w:rsidP="00D224C7">
      <w:r>
        <w:continuationSeparator/>
      </w:r>
    </w:p>
  </w:endnote>
  <w:endnote w:type="continuationNotice" w:id="1">
    <w:p w14:paraId="7EE16C00" w14:textId="77777777" w:rsidR="00307930" w:rsidRDefault="00307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F41A" w14:textId="77777777" w:rsidR="00A12746" w:rsidRPr="002B3516" w:rsidRDefault="008A3C66" w:rsidP="002B3516">
    <w:pPr>
      <w:pStyle w:val="Pieddepage"/>
      <w:pBdr>
        <w:top w:val="single" w:sz="4" w:space="0" w:color="auto"/>
      </w:pBdr>
      <w:tabs>
        <w:tab w:val="right" w:pos="9356"/>
      </w:tabs>
      <w:ind w:right="-2"/>
    </w:pPr>
    <w:r>
      <w:rPr>
        <w:rFonts w:ascii="Calibri" w:hAnsi="Calibri" w:cs="Calibri"/>
        <w:sz w:val="20"/>
      </w:rPr>
      <w:t>HKV-3-rev_rev_2025.03.04</w:t>
    </w:r>
    <w:r>
      <w:rPr>
        <w:rFonts w:ascii="Calibri" w:hAnsi="Calibri" w:cs="Calibri"/>
        <w:sz w:val="20"/>
      </w:rPr>
      <w:tab/>
    </w:r>
    <w:r>
      <w:rPr>
        <w:rFonts w:ascii="Calibri" w:hAnsi="Calibri" w:cs="Calibri"/>
        <w:sz w:val="20"/>
      </w:rPr>
      <w:tab/>
      <w:t>Page </w:t>
    </w:r>
    <w:r w:rsidR="002B3516" w:rsidRPr="002006EC">
      <w:rPr>
        <w:rFonts w:ascii="Calibri" w:hAnsi="Calibri" w:cs="Calibri"/>
        <w:iCs/>
        <w:sz w:val="20"/>
      </w:rPr>
      <w:fldChar w:fldCharType="begin"/>
    </w:r>
    <w:r w:rsidR="002B3516" w:rsidRPr="006E7335">
      <w:rPr>
        <w:rFonts w:ascii="Calibri" w:hAnsi="Calibri" w:cs="Calibri"/>
        <w:iCs/>
        <w:sz w:val="20"/>
        <w:lang w:val="de-CH"/>
      </w:rPr>
      <w:instrText xml:space="preserve"> PAGE </w:instrText>
    </w:r>
    <w:r w:rsidR="002B3516" w:rsidRPr="002006EC">
      <w:rPr>
        <w:rFonts w:ascii="Calibri" w:hAnsi="Calibri" w:cs="Calibri"/>
        <w:iCs/>
        <w:sz w:val="20"/>
      </w:rPr>
      <w:fldChar w:fldCharType="separate"/>
    </w:r>
    <w:r>
      <w:rPr>
        <w:rFonts w:ascii="Calibri" w:hAnsi="Calibri" w:cs="Calibri"/>
        <w:iCs/>
        <w:sz w:val="20"/>
        <w:lang w:val="de-CH"/>
      </w:rPr>
      <w:t>2</w:t>
    </w:r>
    <w:r w:rsidR="002B3516" w:rsidRPr="002006EC">
      <w:rPr>
        <w:rFonts w:ascii="Calibri" w:hAnsi="Calibri" w:cs="Calibri"/>
        <w:iCs/>
        <w:sz w:val="20"/>
      </w:rPr>
      <w:fldChar w:fldCharType="end"/>
    </w:r>
    <w:r>
      <w:rPr>
        <w:rFonts w:ascii="Calibri" w:hAnsi="Calibri" w:cs="Calibri"/>
        <w:sz w:val="20"/>
      </w:rPr>
      <w:t xml:space="preserve"> de </w:t>
    </w:r>
    <w:r w:rsidR="002B3516" w:rsidRPr="002006EC">
      <w:rPr>
        <w:rFonts w:ascii="Calibri" w:hAnsi="Calibri" w:cs="Calibri"/>
        <w:iCs/>
        <w:sz w:val="20"/>
      </w:rPr>
      <w:fldChar w:fldCharType="begin"/>
    </w:r>
    <w:r w:rsidR="002B3516" w:rsidRPr="006E7335">
      <w:rPr>
        <w:rFonts w:ascii="Calibri" w:hAnsi="Calibri" w:cs="Calibri"/>
        <w:iCs/>
        <w:sz w:val="20"/>
        <w:lang w:val="de-CH"/>
      </w:rPr>
      <w:instrText xml:space="preserve"> NUMPAGES </w:instrText>
    </w:r>
    <w:r w:rsidR="002B3516" w:rsidRPr="002006EC">
      <w:rPr>
        <w:rFonts w:ascii="Calibri" w:hAnsi="Calibri" w:cs="Calibri"/>
        <w:iCs/>
        <w:sz w:val="20"/>
      </w:rPr>
      <w:fldChar w:fldCharType="separate"/>
    </w:r>
    <w:r>
      <w:rPr>
        <w:rFonts w:ascii="Calibri" w:hAnsi="Calibri" w:cs="Calibri"/>
        <w:iCs/>
        <w:sz w:val="20"/>
        <w:lang w:val="de-CH"/>
      </w:rPr>
      <w:t>6</w:t>
    </w:r>
    <w:r w:rsidR="002B3516"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CFB" w14:textId="77777777" w:rsidR="00A12746" w:rsidRPr="009B46C0" w:rsidRDefault="008A3C66" w:rsidP="009B46C0">
    <w:pPr>
      <w:pStyle w:val="Pieddepage"/>
      <w:pBdr>
        <w:top w:val="single" w:sz="4" w:space="0" w:color="auto"/>
      </w:pBdr>
      <w:tabs>
        <w:tab w:val="right" w:pos="9356"/>
      </w:tabs>
      <w:ind w:right="-2"/>
    </w:pPr>
    <w:r>
      <w:rPr>
        <w:rFonts w:ascii="Calibri" w:hAnsi="Calibri" w:cs="Calibri"/>
        <w:sz w:val="20"/>
      </w:rPr>
      <w:t>HKV-3-rev_rev_2025.03.04</w:t>
    </w:r>
    <w:r>
      <w:rPr>
        <w:rFonts w:ascii="Calibri" w:hAnsi="Calibri" w:cs="Calibri"/>
        <w:sz w:val="20"/>
      </w:rPr>
      <w:tab/>
    </w:r>
    <w:r>
      <w:rPr>
        <w:rFonts w:ascii="Calibri" w:hAnsi="Calibri" w:cs="Calibri"/>
        <w:sz w:val="20"/>
      </w:rPr>
      <w:tab/>
      <w:t>Page </w:t>
    </w:r>
    <w:r w:rsidR="009B46C0" w:rsidRPr="002006EC">
      <w:rPr>
        <w:rFonts w:ascii="Calibri" w:hAnsi="Calibri" w:cs="Calibri"/>
        <w:iCs/>
        <w:sz w:val="20"/>
      </w:rPr>
      <w:fldChar w:fldCharType="begin"/>
    </w:r>
    <w:r w:rsidR="009B46C0" w:rsidRPr="006E7335">
      <w:rPr>
        <w:rFonts w:ascii="Calibri" w:hAnsi="Calibri" w:cs="Calibri"/>
        <w:iCs/>
        <w:sz w:val="20"/>
        <w:lang w:val="de-CH"/>
      </w:rPr>
      <w:instrText xml:space="preserve"> PAGE </w:instrText>
    </w:r>
    <w:r w:rsidR="009B46C0" w:rsidRPr="002006EC">
      <w:rPr>
        <w:rFonts w:ascii="Calibri" w:hAnsi="Calibri" w:cs="Calibri"/>
        <w:iCs/>
        <w:sz w:val="20"/>
      </w:rPr>
      <w:fldChar w:fldCharType="separate"/>
    </w:r>
    <w:r>
      <w:rPr>
        <w:rFonts w:ascii="Calibri" w:hAnsi="Calibri" w:cs="Calibri"/>
        <w:iCs/>
        <w:sz w:val="20"/>
        <w:lang w:val="de-CH"/>
      </w:rPr>
      <w:t>1</w:t>
    </w:r>
    <w:r w:rsidR="009B46C0" w:rsidRPr="002006EC">
      <w:rPr>
        <w:rFonts w:ascii="Calibri" w:hAnsi="Calibri" w:cs="Calibri"/>
        <w:iCs/>
        <w:sz w:val="20"/>
      </w:rPr>
      <w:fldChar w:fldCharType="end"/>
    </w:r>
    <w:r>
      <w:rPr>
        <w:rFonts w:ascii="Calibri" w:hAnsi="Calibri" w:cs="Calibri"/>
        <w:sz w:val="20"/>
      </w:rPr>
      <w:t xml:space="preserve"> de </w:t>
    </w:r>
    <w:r w:rsidR="009B46C0" w:rsidRPr="002006EC">
      <w:rPr>
        <w:rFonts w:ascii="Calibri" w:hAnsi="Calibri" w:cs="Calibri"/>
        <w:iCs/>
        <w:sz w:val="20"/>
      </w:rPr>
      <w:fldChar w:fldCharType="begin"/>
    </w:r>
    <w:r w:rsidR="009B46C0" w:rsidRPr="006E7335">
      <w:rPr>
        <w:rFonts w:ascii="Calibri" w:hAnsi="Calibri" w:cs="Calibri"/>
        <w:iCs/>
        <w:sz w:val="20"/>
        <w:lang w:val="de-CH"/>
      </w:rPr>
      <w:instrText xml:space="preserve"> NUMPAGES </w:instrText>
    </w:r>
    <w:r w:rsidR="009B46C0" w:rsidRPr="002006EC">
      <w:rPr>
        <w:rFonts w:ascii="Calibri" w:hAnsi="Calibri" w:cs="Calibri"/>
        <w:iCs/>
        <w:sz w:val="20"/>
      </w:rPr>
      <w:fldChar w:fldCharType="separate"/>
    </w:r>
    <w:r>
      <w:rPr>
        <w:rFonts w:ascii="Calibri" w:hAnsi="Calibri" w:cs="Calibri"/>
        <w:iCs/>
        <w:sz w:val="20"/>
        <w:lang w:val="de-CH"/>
      </w:rPr>
      <w:t>6</w:t>
    </w:r>
    <w:r w:rsidR="009B46C0" w:rsidRPr="002006EC">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F970" w14:textId="77777777" w:rsidR="00307930" w:rsidRDefault="00307930" w:rsidP="00D224C7">
      <w:r>
        <w:separator/>
      </w:r>
    </w:p>
  </w:footnote>
  <w:footnote w:type="continuationSeparator" w:id="0">
    <w:p w14:paraId="62400C80" w14:textId="77777777" w:rsidR="00307930" w:rsidRDefault="00307930" w:rsidP="00D224C7">
      <w:r>
        <w:continuationSeparator/>
      </w:r>
    </w:p>
  </w:footnote>
  <w:footnote w:type="continuationNotice" w:id="1">
    <w:p w14:paraId="17DB91BD" w14:textId="77777777" w:rsidR="00307930" w:rsidRDefault="00307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CE1F" w14:textId="77777777" w:rsidR="00A12746" w:rsidRPr="002B3516" w:rsidRDefault="002B3516">
    <w:pPr>
      <w:pStyle w:val="En-tte"/>
      <w:pBdr>
        <w:bottom w:val="single" w:sz="6" w:space="1" w:color="auto"/>
      </w:pBdr>
      <w:rPr>
        <w:rFonts w:asciiTheme="minorHAnsi" w:hAnsiTheme="minorHAnsi"/>
        <w:sz w:val="20"/>
      </w:rPr>
    </w:pPr>
    <w:r>
      <w:rPr>
        <w:rFonts w:asciiTheme="minorHAnsi" w:hAnsiTheme="minorHAnsi"/>
        <w:sz w:val="20"/>
      </w:rPr>
      <w:tab/>
      <w:t xml:space="preserve">Contrat relatif </w:t>
    </w:r>
    <w:proofErr w:type="spellStart"/>
    <w:r>
      <w:rPr>
        <w:rFonts w:asciiTheme="minorHAnsi" w:hAnsiTheme="minorHAnsi"/>
        <w:sz w:val="20"/>
      </w:rPr>
      <w:t>à</w:t>
    </w:r>
    <w:proofErr w:type="spellEnd"/>
    <w:r>
      <w:rPr>
        <w:rFonts w:asciiTheme="minorHAnsi" w:hAnsiTheme="minorHAnsi"/>
        <w:sz w:val="20"/>
      </w:rPr>
      <w:t xml:space="preserve"> l’achat de matériel informatique</w:t>
    </w:r>
  </w:p>
  <w:p w14:paraId="6BEF6C67" w14:textId="77777777" w:rsidR="00A12746" w:rsidRDefault="00A127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066993478">
    <w:abstractNumId w:val="1"/>
  </w:num>
  <w:num w:numId="2" w16cid:durableId="95224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31766"/>
    <w:rsid w:val="00037C7B"/>
    <w:rsid w:val="00054214"/>
    <w:rsid w:val="0005716F"/>
    <w:rsid w:val="000610A0"/>
    <w:rsid w:val="000674F8"/>
    <w:rsid w:val="000711C8"/>
    <w:rsid w:val="00087470"/>
    <w:rsid w:val="000B4AB4"/>
    <w:rsid w:val="000B57A4"/>
    <w:rsid w:val="000C0328"/>
    <w:rsid w:val="000E7727"/>
    <w:rsid w:val="00117E97"/>
    <w:rsid w:val="00152961"/>
    <w:rsid w:val="001673CF"/>
    <w:rsid w:val="0018517D"/>
    <w:rsid w:val="001916EB"/>
    <w:rsid w:val="0019259C"/>
    <w:rsid w:val="00194497"/>
    <w:rsid w:val="001A175C"/>
    <w:rsid w:val="00205E58"/>
    <w:rsid w:val="00225095"/>
    <w:rsid w:val="00243F7D"/>
    <w:rsid w:val="0024570D"/>
    <w:rsid w:val="00246115"/>
    <w:rsid w:val="002563E9"/>
    <w:rsid w:val="0026442C"/>
    <w:rsid w:val="0026548B"/>
    <w:rsid w:val="00272432"/>
    <w:rsid w:val="002B2361"/>
    <w:rsid w:val="002B3516"/>
    <w:rsid w:val="002B3ADA"/>
    <w:rsid w:val="002E3E5F"/>
    <w:rsid w:val="002F271B"/>
    <w:rsid w:val="002F6E8E"/>
    <w:rsid w:val="003037CD"/>
    <w:rsid w:val="00307930"/>
    <w:rsid w:val="00326D44"/>
    <w:rsid w:val="00331D43"/>
    <w:rsid w:val="00340982"/>
    <w:rsid w:val="003427C7"/>
    <w:rsid w:val="00342D99"/>
    <w:rsid w:val="00360B1C"/>
    <w:rsid w:val="0037099D"/>
    <w:rsid w:val="003753AC"/>
    <w:rsid w:val="003A273E"/>
    <w:rsid w:val="003A734E"/>
    <w:rsid w:val="003B6967"/>
    <w:rsid w:val="003C552F"/>
    <w:rsid w:val="003D2C05"/>
    <w:rsid w:val="003E0990"/>
    <w:rsid w:val="003F04F9"/>
    <w:rsid w:val="003F5406"/>
    <w:rsid w:val="004125B0"/>
    <w:rsid w:val="004130D1"/>
    <w:rsid w:val="004150DA"/>
    <w:rsid w:val="00415CC7"/>
    <w:rsid w:val="00426A86"/>
    <w:rsid w:val="00433F78"/>
    <w:rsid w:val="00447128"/>
    <w:rsid w:val="004A64B1"/>
    <w:rsid w:val="004B1981"/>
    <w:rsid w:val="004B783D"/>
    <w:rsid w:val="004D2C16"/>
    <w:rsid w:val="004E2AC6"/>
    <w:rsid w:val="004E6CB2"/>
    <w:rsid w:val="00511342"/>
    <w:rsid w:val="00523A7E"/>
    <w:rsid w:val="00541381"/>
    <w:rsid w:val="00554292"/>
    <w:rsid w:val="00570125"/>
    <w:rsid w:val="00597D59"/>
    <w:rsid w:val="005A37F5"/>
    <w:rsid w:val="005B4294"/>
    <w:rsid w:val="005D4DF9"/>
    <w:rsid w:val="005E1733"/>
    <w:rsid w:val="005F0A2C"/>
    <w:rsid w:val="00604E7C"/>
    <w:rsid w:val="00607CFD"/>
    <w:rsid w:val="00636A55"/>
    <w:rsid w:val="006538D1"/>
    <w:rsid w:val="0065399D"/>
    <w:rsid w:val="006624C6"/>
    <w:rsid w:val="0066495E"/>
    <w:rsid w:val="00680E02"/>
    <w:rsid w:val="006838E0"/>
    <w:rsid w:val="00687E11"/>
    <w:rsid w:val="006B6843"/>
    <w:rsid w:val="006F3CB1"/>
    <w:rsid w:val="007155A0"/>
    <w:rsid w:val="00720482"/>
    <w:rsid w:val="00761020"/>
    <w:rsid w:val="007664DC"/>
    <w:rsid w:val="00773721"/>
    <w:rsid w:val="00795075"/>
    <w:rsid w:val="00795A46"/>
    <w:rsid w:val="00797DC0"/>
    <w:rsid w:val="007B0426"/>
    <w:rsid w:val="007B104D"/>
    <w:rsid w:val="0080048E"/>
    <w:rsid w:val="00803EDC"/>
    <w:rsid w:val="0083648A"/>
    <w:rsid w:val="00837472"/>
    <w:rsid w:val="00842D0E"/>
    <w:rsid w:val="00853A73"/>
    <w:rsid w:val="00853F68"/>
    <w:rsid w:val="00875AA8"/>
    <w:rsid w:val="00882B6E"/>
    <w:rsid w:val="008A0334"/>
    <w:rsid w:val="008A3C66"/>
    <w:rsid w:val="008B60D6"/>
    <w:rsid w:val="008C0368"/>
    <w:rsid w:val="008C0AD0"/>
    <w:rsid w:val="008C7ECE"/>
    <w:rsid w:val="008D2C6B"/>
    <w:rsid w:val="009337BF"/>
    <w:rsid w:val="009339E5"/>
    <w:rsid w:val="0095311A"/>
    <w:rsid w:val="0096140E"/>
    <w:rsid w:val="009931F9"/>
    <w:rsid w:val="009A6D9C"/>
    <w:rsid w:val="009B0329"/>
    <w:rsid w:val="009B46C0"/>
    <w:rsid w:val="009D6C30"/>
    <w:rsid w:val="009E0992"/>
    <w:rsid w:val="009F05B0"/>
    <w:rsid w:val="00A12746"/>
    <w:rsid w:val="00A153DA"/>
    <w:rsid w:val="00A36340"/>
    <w:rsid w:val="00A43ED2"/>
    <w:rsid w:val="00A46F33"/>
    <w:rsid w:val="00A51D2A"/>
    <w:rsid w:val="00A65C4A"/>
    <w:rsid w:val="00A759E3"/>
    <w:rsid w:val="00A77B41"/>
    <w:rsid w:val="00A9375E"/>
    <w:rsid w:val="00A96F6E"/>
    <w:rsid w:val="00AA05E1"/>
    <w:rsid w:val="00AE3FC7"/>
    <w:rsid w:val="00AF47DB"/>
    <w:rsid w:val="00B02596"/>
    <w:rsid w:val="00B0425D"/>
    <w:rsid w:val="00B05F95"/>
    <w:rsid w:val="00B065E2"/>
    <w:rsid w:val="00B26436"/>
    <w:rsid w:val="00B33C50"/>
    <w:rsid w:val="00B9043E"/>
    <w:rsid w:val="00B92895"/>
    <w:rsid w:val="00BA5D8C"/>
    <w:rsid w:val="00BA7527"/>
    <w:rsid w:val="00BC10B2"/>
    <w:rsid w:val="00BC2C37"/>
    <w:rsid w:val="00BC42AD"/>
    <w:rsid w:val="00BD28F1"/>
    <w:rsid w:val="00BF317E"/>
    <w:rsid w:val="00C0395F"/>
    <w:rsid w:val="00C14831"/>
    <w:rsid w:val="00C42171"/>
    <w:rsid w:val="00C61E6E"/>
    <w:rsid w:val="00CB02EB"/>
    <w:rsid w:val="00CB0EFE"/>
    <w:rsid w:val="00CB3DB3"/>
    <w:rsid w:val="00CC2E23"/>
    <w:rsid w:val="00CE0E4A"/>
    <w:rsid w:val="00D06E8D"/>
    <w:rsid w:val="00D111A0"/>
    <w:rsid w:val="00D111BD"/>
    <w:rsid w:val="00D213B3"/>
    <w:rsid w:val="00D224C7"/>
    <w:rsid w:val="00D53F6D"/>
    <w:rsid w:val="00D60082"/>
    <w:rsid w:val="00D677B3"/>
    <w:rsid w:val="00D818FE"/>
    <w:rsid w:val="00D8359D"/>
    <w:rsid w:val="00D86CFF"/>
    <w:rsid w:val="00DA0980"/>
    <w:rsid w:val="00DA2677"/>
    <w:rsid w:val="00DA3C03"/>
    <w:rsid w:val="00DA50D3"/>
    <w:rsid w:val="00DF7101"/>
    <w:rsid w:val="00E30F4E"/>
    <w:rsid w:val="00E33B34"/>
    <w:rsid w:val="00E46B3B"/>
    <w:rsid w:val="00E72B22"/>
    <w:rsid w:val="00E75DAF"/>
    <w:rsid w:val="00E83F8E"/>
    <w:rsid w:val="00E91669"/>
    <w:rsid w:val="00EA5C56"/>
    <w:rsid w:val="00EA6C7C"/>
    <w:rsid w:val="00EC0E62"/>
    <w:rsid w:val="00EC3266"/>
    <w:rsid w:val="00EC4EBC"/>
    <w:rsid w:val="00EE7234"/>
    <w:rsid w:val="00EF1844"/>
    <w:rsid w:val="00EF5482"/>
    <w:rsid w:val="00F17F02"/>
    <w:rsid w:val="00F3409D"/>
    <w:rsid w:val="00F36775"/>
    <w:rsid w:val="00F40891"/>
    <w:rsid w:val="00F54875"/>
    <w:rsid w:val="00F67196"/>
    <w:rsid w:val="00F73926"/>
    <w:rsid w:val="00F91EC7"/>
    <w:rsid w:val="00FC5550"/>
    <w:rsid w:val="00FD67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695E8"/>
  <w15:docId w15:val="{E385D1E5-00DD-4984-A3DD-140052E4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re1">
    <w:name w:val="heading 1"/>
    <w:basedOn w:val="Normal"/>
    <w:next w:val="Normal"/>
    <w:link w:val="Titre1C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8C7ECE"/>
    <w:pPr>
      <w:ind w:left="426" w:hanging="426"/>
    </w:pPr>
  </w:style>
  <w:style w:type="paragraph" w:styleId="TM1">
    <w:name w:val="toc 1"/>
    <w:basedOn w:val="Normal"/>
    <w:next w:val="Normal"/>
    <w:uiPriority w:val="39"/>
    <w:rsid w:val="008C7ECE"/>
    <w:pPr>
      <w:tabs>
        <w:tab w:val="clear" w:pos="1276"/>
        <w:tab w:val="clear" w:pos="5216"/>
        <w:tab w:val="clear" w:pos="7938"/>
        <w:tab w:val="right" w:leader="dot" w:pos="9299"/>
      </w:tabs>
      <w:spacing w:before="120"/>
    </w:pPr>
  </w:style>
  <w:style w:type="paragraph" w:styleId="Pieddepage">
    <w:name w:val="footer"/>
    <w:basedOn w:val="Normal"/>
    <w:link w:val="PieddepageCar"/>
    <w:rsid w:val="008C7ECE"/>
    <w:pPr>
      <w:tabs>
        <w:tab w:val="clear" w:pos="7938"/>
      </w:tabs>
    </w:pPr>
    <w:rPr>
      <w:noProof/>
      <w:sz w:val="12"/>
    </w:rPr>
  </w:style>
  <w:style w:type="character" w:customStyle="1" w:styleId="PieddepageCar">
    <w:name w:val="Pied de page Car"/>
    <w:basedOn w:val="Policepardfaut"/>
    <w:link w:val="Pieddepage"/>
    <w:rsid w:val="008C7ECE"/>
    <w:rPr>
      <w:rFonts w:ascii="Arial" w:eastAsia="Times New Roman" w:hAnsi="Arial" w:cs="Times New Roman"/>
      <w:noProof/>
      <w:sz w:val="12"/>
      <w:szCs w:val="20"/>
      <w:lang w:val="fr-CH" w:eastAsia="de-DE"/>
    </w:rPr>
  </w:style>
  <w:style w:type="paragraph" w:styleId="En-tte">
    <w:name w:val="header"/>
    <w:basedOn w:val="Normal"/>
    <w:link w:val="En-tteCar"/>
    <w:semiHidden/>
    <w:rsid w:val="008C7ECE"/>
    <w:pPr>
      <w:tabs>
        <w:tab w:val="clear" w:pos="426"/>
        <w:tab w:val="clear" w:pos="851"/>
        <w:tab w:val="clear" w:pos="1276"/>
        <w:tab w:val="clear" w:pos="5216"/>
        <w:tab w:val="clear" w:pos="7938"/>
      </w:tabs>
    </w:pPr>
  </w:style>
  <w:style w:type="character" w:customStyle="1" w:styleId="En-tteCar">
    <w:name w:val="En-tête Car"/>
    <w:basedOn w:val="Policepardfaut"/>
    <w:link w:val="En-tte"/>
    <w:semiHidden/>
    <w:rsid w:val="008C7ECE"/>
    <w:rPr>
      <w:rFonts w:ascii="Arial" w:eastAsia="Times New Roman" w:hAnsi="Arial" w:cs="Times New Roman"/>
      <w:szCs w:val="20"/>
      <w:lang w:val="fr-CH" w:eastAsia="de-DE"/>
    </w:rPr>
  </w:style>
  <w:style w:type="paragraph" w:customStyle="1" w:styleId="Aufzhlung1">
    <w:name w:val="Aufzählung1"/>
    <w:basedOn w:val="Normal"/>
    <w:next w:val="Normal"/>
    <w:rsid w:val="008C7ECE"/>
    <w:pPr>
      <w:ind w:left="426" w:hanging="426"/>
    </w:pPr>
  </w:style>
  <w:style w:type="character" w:customStyle="1" w:styleId="Titre1Car">
    <w:name w:val="Titre 1 Car"/>
    <w:basedOn w:val="Policepardfaut"/>
    <w:link w:val="Titre1"/>
    <w:uiPriority w:val="9"/>
    <w:rsid w:val="004A64B1"/>
    <w:rPr>
      <w:rFonts w:ascii="Arial" w:eastAsia="Times New Roman" w:hAnsi="Arial" w:cs="Times New Roman"/>
      <w:b/>
      <w:szCs w:val="20"/>
      <w:lang w:val="fr-CH" w:eastAsia="de-DE"/>
    </w:rPr>
  </w:style>
  <w:style w:type="character" w:styleId="Lienhypertexte">
    <w:name w:val="Hyperlink"/>
    <w:basedOn w:val="Policepardfaut"/>
    <w:uiPriority w:val="99"/>
    <w:unhideWhenUsed/>
    <w:rsid w:val="004A64B1"/>
    <w:rPr>
      <w:color w:val="0000FF" w:themeColor="hyperlink"/>
      <w:u w:val="single"/>
    </w:rPr>
  </w:style>
  <w:style w:type="paragraph" w:styleId="Paragraphedeliste">
    <w:name w:val="List Paragraph"/>
    <w:basedOn w:val="Normal"/>
    <w:uiPriority w:val="34"/>
    <w:qFormat/>
    <w:rsid w:val="00EC0E62"/>
    <w:pPr>
      <w:ind w:left="720"/>
      <w:contextualSpacing/>
    </w:pPr>
  </w:style>
  <w:style w:type="paragraph" w:customStyle="1" w:styleId="Textkrper21">
    <w:name w:val="Textkörper 21"/>
    <w:basedOn w:val="Normal"/>
    <w:rsid w:val="009B46C0"/>
    <w:pPr>
      <w:tabs>
        <w:tab w:val="clear" w:pos="426"/>
        <w:tab w:val="clear" w:pos="851"/>
        <w:tab w:val="clear" w:pos="1276"/>
        <w:tab w:val="clear" w:pos="5216"/>
        <w:tab w:val="clear" w:pos="7938"/>
        <w:tab w:val="clear" w:pos="9299"/>
        <w:tab w:val="left" w:pos="1134"/>
      </w:tabs>
      <w:overflowPunct w:val="0"/>
      <w:autoSpaceDE w:val="0"/>
      <w:autoSpaceDN w:val="0"/>
      <w:adjustRightInd w:val="0"/>
      <w:ind w:left="1134"/>
      <w:textAlignment w:val="baseline"/>
    </w:pPr>
    <w:rPr>
      <w:rFonts w:ascii="Times New Roman" w:hAnsi="Times New Roman"/>
      <w:sz w:val="20"/>
    </w:rPr>
  </w:style>
  <w:style w:type="paragraph" w:styleId="Textedebulles">
    <w:name w:val="Balloon Text"/>
    <w:basedOn w:val="Normal"/>
    <w:link w:val="TextedebullesCar"/>
    <w:uiPriority w:val="99"/>
    <w:semiHidden/>
    <w:unhideWhenUsed/>
    <w:rsid w:val="009B46C0"/>
    <w:rPr>
      <w:rFonts w:ascii="Tahoma" w:hAnsi="Tahoma" w:cs="Tahoma"/>
      <w:sz w:val="16"/>
      <w:szCs w:val="16"/>
    </w:rPr>
  </w:style>
  <w:style w:type="character" w:customStyle="1" w:styleId="TextedebullesCar">
    <w:name w:val="Texte de bulles Car"/>
    <w:basedOn w:val="Policepardfaut"/>
    <w:link w:val="Textedebulles"/>
    <w:uiPriority w:val="99"/>
    <w:semiHidden/>
    <w:rsid w:val="009B46C0"/>
    <w:rPr>
      <w:rFonts w:ascii="Tahoma" w:eastAsia="Times New Roman" w:hAnsi="Tahoma" w:cs="Tahoma"/>
      <w:sz w:val="16"/>
      <w:szCs w:val="16"/>
      <w:lang w:val="fr-CH" w:eastAsia="de-DE"/>
    </w:rPr>
  </w:style>
  <w:style w:type="paragraph" w:customStyle="1" w:styleId="SIK-Standard">
    <w:name w:val="SIK-Standard"/>
    <w:basedOn w:val="Normal"/>
    <w:link w:val="SIK-Standard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paragraph" w:customStyle="1" w:styleId="SIK-Standard1">
    <w:name w:val="SIK-Standard 1"/>
    <w:basedOn w:val="Normal"/>
    <w:link w:val="SIK-Standard1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character" w:customStyle="1" w:styleId="SIK-StandardZchn">
    <w:name w:val="SIK-Standard Zchn"/>
    <w:basedOn w:val="Policepardfaut"/>
    <w:link w:val="SIK-Standard"/>
    <w:rsid w:val="009B46C0"/>
    <w:rPr>
      <w:rFonts w:eastAsia="Times New Roman" w:cs="Times New Roman"/>
      <w:szCs w:val="20"/>
      <w:lang w:val="fr-CH" w:eastAsia="de-DE"/>
    </w:rPr>
  </w:style>
  <w:style w:type="paragraph" w:customStyle="1" w:styleId="SIK-berschrift1">
    <w:name w:val="SIK-Überschrift 1"/>
    <w:basedOn w:val="Titre1"/>
    <w:link w:val="SIK-berschrift1Zchn"/>
    <w:qFormat/>
    <w:rsid w:val="009B46C0"/>
    <w:pPr>
      <w:spacing w:before="360" w:line="320" w:lineRule="exact"/>
      <w:ind w:left="425" w:hanging="425"/>
      <w:jc w:val="both"/>
    </w:pPr>
    <w:rPr>
      <w:rFonts w:asciiTheme="minorHAnsi" w:hAnsiTheme="minorHAnsi"/>
    </w:rPr>
  </w:style>
  <w:style w:type="character" w:customStyle="1" w:styleId="SIK-Standard1Zchn">
    <w:name w:val="SIK-Standard 1 Zchn"/>
    <w:basedOn w:val="Policepardfaut"/>
    <w:link w:val="SIK-Standard1"/>
    <w:rsid w:val="009B46C0"/>
    <w:rPr>
      <w:rFonts w:eastAsia="Times New Roman" w:cs="Times New Roman"/>
      <w:szCs w:val="20"/>
      <w:lang w:val="fr-CH" w:eastAsia="de-DE"/>
    </w:rPr>
  </w:style>
  <w:style w:type="character" w:customStyle="1" w:styleId="SIK-berschrift1Zchn">
    <w:name w:val="SIK-Überschrift 1 Zchn"/>
    <w:basedOn w:val="Titre1Car"/>
    <w:link w:val="SIK-berschrift1"/>
    <w:rsid w:val="009B46C0"/>
    <w:rPr>
      <w:rFonts w:ascii="Arial" w:eastAsia="Times New Roman" w:hAnsi="Arial" w:cs="Times New Roman"/>
      <w:b/>
      <w:szCs w:val="20"/>
      <w:lang w:val="fr-CH" w:eastAsia="de-DE"/>
    </w:rPr>
  </w:style>
  <w:style w:type="character" w:styleId="Marquedecommentaire">
    <w:name w:val="annotation reference"/>
    <w:basedOn w:val="Policepardfaut"/>
    <w:uiPriority w:val="99"/>
    <w:semiHidden/>
    <w:unhideWhenUsed/>
    <w:rsid w:val="00C14831"/>
    <w:rPr>
      <w:sz w:val="16"/>
      <w:szCs w:val="16"/>
    </w:rPr>
  </w:style>
  <w:style w:type="paragraph" w:styleId="Commentaire">
    <w:name w:val="annotation text"/>
    <w:basedOn w:val="Normal"/>
    <w:link w:val="CommentaireCar"/>
    <w:uiPriority w:val="99"/>
    <w:semiHidden/>
    <w:unhideWhenUsed/>
    <w:rsid w:val="00C14831"/>
    <w:rPr>
      <w:sz w:val="20"/>
    </w:rPr>
  </w:style>
  <w:style w:type="character" w:customStyle="1" w:styleId="CommentaireCar">
    <w:name w:val="Commentaire Car"/>
    <w:basedOn w:val="Policepardfaut"/>
    <w:link w:val="Commentaire"/>
    <w:uiPriority w:val="99"/>
    <w:semiHidden/>
    <w:rsid w:val="00C14831"/>
    <w:rPr>
      <w:rFonts w:ascii="Arial" w:eastAsia="Times New Roman" w:hAnsi="Arial" w:cs="Times New Roman"/>
      <w:sz w:val="20"/>
      <w:szCs w:val="20"/>
      <w:lang w:val="fr-CH" w:eastAsia="de-DE"/>
    </w:rPr>
  </w:style>
  <w:style w:type="paragraph" w:styleId="Objetducommentaire">
    <w:name w:val="annotation subject"/>
    <w:basedOn w:val="Commentaire"/>
    <w:next w:val="Commentaire"/>
    <w:link w:val="ObjetducommentaireCar"/>
    <w:uiPriority w:val="99"/>
    <w:semiHidden/>
    <w:unhideWhenUsed/>
    <w:rsid w:val="00C14831"/>
    <w:rPr>
      <w:b/>
      <w:bCs/>
    </w:rPr>
  </w:style>
  <w:style w:type="character" w:customStyle="1" w:styleId="ObjetducommentaireCar">
    <w:name w:val="Objet du commentaire Car"/>
    <w:basedOn w:val="CommentaireCar"/>
    <w:link w:val="Objetducommentaire"/>
    <w:uiPriority w:val="99"/>
    <w:semiHidden/>
    <w:rsid w:val="00C14831"/>
    <w:rPr>
      <w:rFonts w:ascii="Arial" w:eastAsia="Times New Roman" w:hAnsi="Arial" w:cs="Times New Roman"/>
      <w:b/>
      <w:bCs/>
      <w:sz w:val="20"/>
      <w:szCs w:val="20"/>
      <w:lang w:val="fr-CH" w:eastAsia="de-DE"/>
    </w:rPr>
  </w:style>
  <w:style w:type="paragraph" w:styleId="Rvision">
    <w:name w:val="Revision"/>
    <w:hidden/>
    <w:uiPriority w:val="99"/>
    <w:semiHidden/>
    <w:rsid w:val="00087470"/>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18B501DA-6C02-4F4E-A482-EE211045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EA905BEC-F556-498F-97E0-AEC119DD30B6}">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B150E261-A964-4D77-8244-4654184AE88C}">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10BA563F-E122-42B3-933D-4A7FED45CE2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9791</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Vertragsvorlage für den Kauf von Hardware</vt:lpstr>
    </vt:vector>
  </TitlesOfParts>
  <Company/>
  <LinksUpToDate>false</LinksUpToDate>
  <CharactersWithSpaces>11548</CharactersWithSpaces>
  <SharedDoc>false</SharedDoc>
  <HLinks>
    <vt:vector size="72" baseType="variant">
      <vt:variant>
        <vt:i4>1441841</vt:i4>
      </vt:variant>
      <vt:variant>
        <vt:i4>68</vt:i4>
      </vt:variant>
      <vt:variant>
        <vt:i4>0</vt:i4>
      </vt:variant>
      <vt:variant>
        <vt:i4>5</vt:i4>
      </vt:variant>
      <vt:variant>
        <vt:lpwstr/>
      </vt:variant>
      <vt:variant>
        <vt:lpwstr>_Toc26953290</vt:lpwstr>
      </vt:variant>
      <vt:variant>
        <vt:i4>2031664</vt:i4>
      </vt:variant>
      <vt:variant>
        <vt:i4>62</vt:i4>
      </vt:variant>
      <vt:variant>
        <vt:i4>0</vt:i4>
      </vt:variant>
      <vt:variant>
        <vt:i4>5</vt:i4>
      </vt:variant>
      <vt:variant>
        <vt:lpwstr/>
      </vt:variant>
      <vt:variant>
        <vt:lpwstr>_Toc26953289</vt:lpwstr>
      </vt:variant>
      <vt:variant>
        <vt:i4>1966128</vt:i4>
      </vt:variant>
      <vt:variant>
        <vt:i4>56</vt:i4>
      </vt:variant>
      <vt:variant>
        <vt:i4>0</vt:i4>
      </vt:variant>
      <vt:variant>
        <vt:i4>5</vt:i4>
      </vt:variant>
      <vt:variant>
        <vt:lpwstr/>
      </vt:variant>
      <vt:variant>
        <vt:lpwstr>_Toc26953288</vt:lpwstr>
      </vt:variant>
      <vt:variant>
        <vt:i4>1114160</vt:i4>
      </vt:variant>
      <vt:variant>
        <vt:i4>50</vt:i4>
      </vt:variant>
      <vt:variant>
        <vt:i4>0</vt:i4>
      </vt:variant>
      <vt:variant>
        <vt:i4>5</vt:i4>
      </vt:variant>
      <vt:variant>
        <vt:lpwstr/>
      </vt:variant>
      <vt:variant>
        <vt:lpwstr>_Toc26953287</vt:lpwstr>
      </vt:variant>
      <vt:variant>
        <vt:i4>1048624</vt:i4>
      </vt:variant>
      <vt:variant>
        <vt:i4>44</vt:i4>
      </vt:variant>
      <vt:variant>
        <vt:i4>0</vt:i4>
      </vt:variant>
      <vt:variant>
        <vt:i4>5</vt:i4>
      </vt:variant>
      <vt:variant>
        <vt:lpwstr/>
      </vt:variant>
      <vt:variant>
        <vt:lpwstr>_Toc26953286</vt:lpwstr>
      </vt:variant>
      <vt:variant>
        <vt:i4>1245232</vt:i4>
      </vt:variant>
      <vt:variant>
        <vt:i4>38</vt:i4>
      </vt:variant>
      <vt:variant>
        <vt:i4>0</vt:i4>
      </vt:variant>
      <vt:variant>
        <vt:i4>5</vt:i4>
      </vt:variant>
      <vt:variant>
        <vt:lpwstr/>
      </vt:variant>
      <vt:variant>
        <vt:lpwstr>_Toc26953285</vt:lpwstr>
      </vt:variant>
      <vt:variant>
        <vt:i4>1179696</vt:i4>
      </vt:variant>
      <vt:variant>
        <vt:i4>32</vt:i4>
      </vt:variant>
      <vt:variant>
        <vt:i4>0</vt:i4>
      </vt:variant>
      <vt:variant>
        <vt:i4>5</vt:i4>
      </vt:variant>
      <vt:variant>
        <vt:lpwstr/>
      </vt:variant>
      <vt:variant>
        <vt:lpwstr>_Toc26953284</vt:lpwstr>
      </vt:variant>
      <vt:variant>
        <vt:i4>1376304</vt:i4>
      </vt:variant>
      <vt:variant>
        <vt:i4>26</vt:i4>
      </vt:variant>
      <vt:variant>
        <vt:i4>0</vt:i4>
      </vt:variant>
      <vt:variant>
        <vt:i4>5</vt:i4>
      </vt:variant>
      <vt:variant>
        <vt:lpwstr/>
      </vt:variant>
      <vt:variant>
        <vt:lpwstr>_Toc26953283</vt:lpwstr>
      </vt:variant>
      <vt:variant>
        <vt:i4>1310768</vt:i4>
      </vt:variant>
      <vt:variant>
        <vt:i4>20</vt:i4>
      </vt:variant>
      <vt:variant>
        <vt:i4>0</vt:i4>
      </vt:variant>
      <vt:variant>
        <vt:i4>5</vt:i4>
      </vt:variant>
      <vt:variant>
        <vt:lpwstr/>
      </vt:variant>
      <vt:variant>
        <vt:lpwstr>_Toc26953282</vt:lpwstr>
      </vt:variant>
      <vt:variant>
        <vt:i4>1507376</vt:i4>
      </vt:variant>
      <vt:variant>
        <vt:i4>14</vt:i4>
      </vt:variant>
      <vt:variant>
        <vt:i4>0</vt:i4>
      </vt:variant>
      <vt:variant>
        <vt:i4>5</vt:i4>
      </vt:variant>
      <vt:variant>
        <vt:lpwstr/>
      </vt:variant>
      <vt:variant>
        <vt:lpwstr>_Toc26953281</vt:lpwstr>
      </vt:variant>
      <vt:variant>
        <vt:i4>1441840</vt:i4>
      </vt:variant>
      <vt:variant>
        <vt:i4>8</vt:i4>
      </vt:variant>
      <vt:variant>
        <vt:i4>0</vt:i4>
      </vt:variant>
      <vt:variant>
        <vt:i4>5</vt:i4>
      </vt:variant>
      <vt:variant>
        <vt:lpwstr/>
      </vt:variant>
      <vt:variant>
        <vt:lpwstr>_Toc26953280</vt:lpwstr>
      </vt:variant>
      <vt:variant>
        <vt:i4>2031679</vt:i4>
      </vt:variant>
      <vt:variant>
        <vt:i4>2</vt:i4>
      </vt:variant>
      <vt:variant>
        <vt:i4>0</vt:i4>
      </vt:variant>
      <vt:variant>
        <vt:i4>5</vt:i4>
      </vt:variant>
      <vt:variant>
        <vt:lpwstr/>
      </vt:variant>
      <vt:variant>
        <vt:lpwstr>_Toc26953279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den Kauf von Hardware</dc:title>
  <dc:subject/>
  <dc:creator>Andreas Marti</dc:creator>
  <cp:keywords/>
  <dc:description>20250305</dc:description>
  <cp:lastModifiedBy>Dessimoz Laetitia GS-EFD</cp:lastModifiedBy>
  <cp:revision>48</cp:revision>
  <cp:lastPrinted>2019-12-19T17:21:00Z</cp:lastPrinted>
  <dcterms:created xsi:type="dcterms:W3CDTF">2019-12-10T15:57:00Z</dcterms:created>
  <dcterms:modified xsi:type="dcterms:W3CDTF">2025-05-09T16:01:00Z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2025-03-25T08:37:44Z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210661a4-46cc-4a93-823a-3a0bb541f714</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